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2DC4" w14:textId="0AC2CFC8" w:rsidR="00B52FFC" w:rsidRPr="009132B9" w:rsidRDefault="00B52FFC" w:rsidP="009132B9">
      <w:pPr>
        <w:pStyle w:val="zalbold-centr"/>
        <w:spacing w:before="0" w:after="0" w:line="240" w:lineRule="auto"/>
        <w:ind w:left="11624"/>
        <w:jc w:val="left"/>
        <w:rPr>
          <w:rFonts w:ascii="Arial" w:hAnsi="Arial" w:cs="Arial"/>
          <w:b w:val="0"/>
          <w:sz w:val="18"/>
          <w:szCs w:val="18"/>
        </w:rPr>
      </w:pPr>
      <w:r w:rsidRPr="009132B9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847DB6" w:rsidRPr="009132B9">
        <w:rPr>
          <w:rFonts w:ascii="Arial" w:hAnsi="Arial" w:cs="Arial"/>
          <w:b w:val="0"/>
          <w:sz w:val="18"/>
          <w:szCs w:val="18"/>
        </w:rPr>
        <w:t>3</w:t>
      </w:r>
    </w:p>
    <w:p w14:paraId="5D269304" w14:textId="34BC6865" w:rsidR="00B52FFC" w:rsidRPr="009132B9" w:rsidRDefault="00851F65" w:rsidP="009132B9">
      <w:pPr>
        <w:pStyle w:val="zalbold-centr"/>
        <w:spacing w:before="0" w:after="0" w:line="240" w:lineRule="auto"/>
        <w:ind w:left="11624"/>
        <w:jc w:val="left"/>
        <w:rPr>
          <w:rFonts w:ascii="Arial" w:hAnsi="Arial" w:cs="Arial"/>
          <w:b w:val="0"/>
          <w:sz w:val="18"/>
          <w:szCs w:val="18"/>
        </w:rPr>
      </w:pPr>
      <w:r w:rsidRPr="009132B9">
        <w:rPr>
          <w:rFonts w:ascii="Arial" w:hAnsi="Arial" w:cs="Arial"/>
          <w:b w:val="0"/>
          <w:sz w:val="18"/>
          <w:szCs w:val="18"/>
        </w:rPr>
        <w:t xml:space="preserve">do Zarządzenia nr </w:t>
      </w:r>
      <w:r w:rsidR="009132B9" w:rsidRPr="009132B9">
        <w:rPr>
          <w:rFonts w:ascii="Arial" w:hAnsi="Arial" w:cs="Arial"/>
          <w:b w:val="0"/>
          <w:sz w:val="18"/>
          <w:szCs w:val="18"/>
        </w:rPr>
        <w:t>144</w:t>
      </w:r>
      <w:r w:rsidR="00B52FFC" w:rsidRPr="009132B9">
        <w:rPr>
          <w:rFonts w:ascii="Arial" w:hAnsi="Arial" w:cs="Arial"/>
          <w:b w:val="0"/>
          <w:sz w:val="18"/>
          <w:szCs w:val="18"/>
        </w:rPr>
        <w:t>/20</w:t>
      </w:r>
      <w:r w:rsidR="00847DB6" w:rsidRPr="009132B9">
        <w:rPr>
          <w:rFonts w:ascii="Arial" w:hAnsi="Arial" w:cs="Arial"/>
          <w:b w:val="0"/>
          <w:sz w:val="18"/>
          <w:szCs w:val="18"/>
        </w:rPr>
        <w:t>22</w:t>
      </w:r>
    </w:p>
    <w:p w14:paraId="2BE2DFFD" w14:textId="77777777" w:rsidR="00B52FFC" w:rsidRPr="009132B9" w:rsidRDefault="00B52FFC" w:rsidP="009132B9">
      <w:pPr>
        <w:pStyle w:val="zalbold-centr"/>
        <w:spacing w:before="0" w:after="0" w:line="240" w:lineRule="auto"/>
        <w:ind w:left="11624"/>
        <w:jc w:val="left"/>
        <w:rPr>
          <w:rFonts w:ascii="Arial" w:hAnsi="Arial" w:cs="Arial"/>
          <w:b w:val="0"/>
          <w:sz w:val="18"/>
          <w:szCs w:val="18"/>
        </w:rPr>
      </w:pPr>
      <w:r w:rsidRPr="009132B9">
        <w:rPr>
          <w:rFonts w:ascii="Arial" w:hAnsi="Arial" w:cs="Arial"/>
          <w:b w:val="0"/>
          <w:sz w:val="18"/>
          <w:szCs w:val="18"/>
        </w:rPr>
        <w:t xml:space="preserve">Starosty Powiatu Gdańskiego </w:t>
      </w:r>
    </w:p>
    <w:p w14:paraId="39B7B717" w14:textId="0800C73D" w:rsidR="00B52FFC" w:rsidRPr="009132B9" w:rsidRDefault="00851F65" w:rsidP="009132B9">
      <w:pPr>
        <w:pStyle w:val="zalbold-centr"/>
        <w:spacing w:before="0" w:after="0" w:line="240" w:lineRule="auto"/>
        <w:ind w:left="11624"/>
        <w:jc w:val="left"/>
        <w:rPr>
          <w:rFonts w:ascii="Arial" w:hAnsi="Arial" w:cs="Arial"/>
          <w:b w:val="0"/>
          <w:sz w:val="18"/>
          <w:szCs w:val="18"/>
        </w:rPr>
      </w:pPr>
      <w:r w:rsidRPr="009132B9">
        <w:rPr>
          <w:rFonts w:ascii="Arial" w:hAnsi="Arial" w:cs="Arial"/>
          <w:b w:val="0"/>
          <w:sz w:val="18"/>
          <w:szCs w:val="18"/>
        </w:rPr>
        <w:t xml:space="preserve">z dnia </w:t>
      </w:r>
      <w:r w:rsidR="007F16AC" w:rsidRPr="009132B9">
        <w:rPr>
          <w:rFonts w:ascii="Arial" w:hAnsi="Arial" w:cs="Arial"/>
          <w:b w:val="0"/>
          <w:sz w:val="18"/>
          <w:szCs w:val="18"/>
        </w:rPr>
        <w:t xml:space="preserve">30 </w:t>
      </w:r>
      <w:r w:rsidR="00847DB6" w:rsidRPr="009132B9">
        <w:rPr>
          <w:rFonts w:ascii="Arial" w:hAnsi="Arial" w:cs="Arial"/>
          <w:b w:val="0"/>
          <w:sz w:val="18"/>
          <w:szCs w:val="18"/>
        </w:rPr>
        <w:t>grudnia</w:t>
      </w:r>
      <w:r w:rsidR="00B52FFC" w:rsidRPr="009132B9">
        <w:rPr>
          <w:rFonts w:ascii="Arial" w:hAnsi="Arial" w:cs="Arial"/>
          <w:b w:val="0"/>
          <w:sz w:val="18"/>
          <w:szCs w:val="18"/>
        </w:rPr>
        <w:t xml:space="preserve"> 20</w:t>
      </w:r>
      <w:r w:rsidR="00847DB6" w:rsidRPr="009132B9">
        <w:rPr>
          <w:rFonts w:ascii="Arial" w:hAnsi="Arial" w:cs="Arial"/>
          <w:b w:val="0"/>
          <w:sz w:val="18"/>
          <w:szCs w:val="18"/>
        </w:rPr>
        <w:t>22</w:t>
      </w:r>
      <w:r w:rsidR="009132B9">
        <w:rPr>
          <w:rFonts w:ascii="Arial" w:hAnsi="Arial" w:cs="Arial"/>
          <w:b w:val="0"/>
          <w:sz w:val="18"/>
          <w:szCs w:val="18"/>
        </w:rPr>
        <w:t xml:space="preserve"> </w:t>
      </w:r>
      <w:bookmarkStart w:id="0" w:name="_GoBack"/>
      <w:bookmarkEnd w:id="0"/>
      <w:r w:rsidR="00B52FFC" w:rsidRPr="009132B9">
        <w:rPr>
          <w:rFonts w:ascii="Arial" w:hAnsi="Arial" w:cs="Arial"/>
          <w:b w:val="0"/>
          <w:sz w:val="18"/>
          <w:szCs w:val="18"/>
        </w:rPr>
        <w:t>r.</w:t>
      </w:r>
    </w:p>
    <w:p w14:paraId="46AE5393" w14:textId="77777777" w:rsidR="00F85A21" w:rsidRPr="001D213C" w:rsidRDefault="00F85A21" w:rsidP="00B52FFC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5027" w:type="dxa"/>
        <w:tblInd w:w="-318" w:type="dxa"/>
        <w:tblLook w:val="04A0" w:firstRow="1" w:lastRow="0" w:firstColumn="1" w:lastColumn="0" w:noHBand="0" w:noVBand="1"/>
      </w:tblPr>
      <w:tblGrid>
        <w:gridCol w:w="1354"/>
        <w:gridCol w:w="6808"/>
        <w:gridCol w:w="1009"/>
        <w:gridCol w:w="970"/>
        <w:gridCol w:w="1317"/>
        <w:gridCol w:w="974"/>
        <w:gridCol w:w="972"/>
        <w:gridCol w:w="1623"/>
      </w:tblGrid>
      <w:tr w:rsidR="00B52FFC" w:rsidRPr="001D213C" w14:paraId="7D77554E" w14:textId="77777777" w:rsidTr="00970535">
        <w:trPr>
          <w:trHeight w:val="376"/>
        </w:trPr>
        <w:tc>
          <w:tcPr>
            <w:tcW w:w="15027" w:type="dxa"/>
            <w:gridSpan w:val="8"/>
            <w:shd w:val="clear" w:color="auto" w:fill="auto"/>
            <w:vAlign w:val="center"/>
          </w:tcPr>
          <w:p w14:paraId="7F04FD53" w14:textId="77777777" w:rsidR="00B52FFC" w:rsidRPr="001D213C" w:rsidRDefault="00B52FFC" w:rsidP="00B52FFC">
            <w:pPr>
              <w:jc w:val="center"/>
              <w:rPr>
                <w:rFonts w:ascii="Arial" w:hAnsi="Arial" w:cs="Arial"/>
                <w:b/>
              </w:rPr>
            </w:pPr>
            <w:r w:rsidRPr="001D213C">
              <w:rPr>
                <w:rFonts w:ascii="Arial" w:hAnsi="Arial" w:cs="Arial"/>
                <w:b/>
              </w:rPr>
              <w:t>INFORMACJA O POLITYCE ZARZADZANIA RYZYKIEM W JEDNOSTCE</w:t>
            </w:r>
          </w:p>
        </w:tc>
      </w:tr>
      <w:tr w:rsidR="00970535" w:rsidRPr="001D213C" w14:paraId="747ADA2A" w14:textId="77777777" w:rsidTr="00970535">
        <w:tc>
          <w:tcPr>
            <w:tcW w:w="8262" w:type="dxa"/>
            <w:gridSpan w:val="2"/>
            <w:vMerge w:val="restart"/>
            <w:shd w:val="clear" w:color="auto" w:fill="auto"/>
            <w:vAlign w:val="center"/>
          </w:tcPr>
          <w:p w14:paraId="248F6E2D" w14:textId="329C35E5" w:rsidR="00970535" w:rsidRPr="00970535" w:rsidRDefault="005B58BF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970535" w:rsidRPr="00970535">
              <w:rPr>
                <w:rFonts w:ascii="Arial" w:hAnsi="Arial" w:cs="Arial"/>
                <w:b/>
                <w:bCs/>
              </w:rPr>
              <w:t>egulacja</w:t>
            </w:r>
          </w:p>
        </w:tc>
        <w:tc>
          <w:tcPr>
            <w:tcW w:w="3273" w:type="dxa"/>
            <w:gridSpan w:val="3"/>
            <w:shd w:val="clear" w:color="auto" w:fill="auto"/>
            <w:vAlign w:val="center"/>
          </w:tcPr>
          <w:p w14:paraId="003D2B2A" w14:textId="13F21C42" w:rsidR="00970535" w:rsidRPr="00970535" w:rsidRDefault="005B58BF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970535" w:rsidRPr="00970535">
              <w:rPr>
                <w:rFonts w:ascii="Arial" w:hAnsi="Arial" w:cs="Arial"/>
                <w:b/>
                <w:bCs/>
              </w:rPr>
              <w:t>stnienie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14:paraId="2E024412" w14:textId="185E8C5E" w:rsidR="00970535" w:rsidRPr="00970535" w:rsidRDefault="005B58BF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970535" w:rsidRPr="00970535">
              <w:rPr>
                <w:rFonts w:ascii="Arial" w:hAnsi="Arial" w:cs="Arial"/>
                <w:b/>
                <w:bCs/>
              </w:rPr>
              <w:t>ecyzja o zmianie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3D599D2" w14:textId="52E5EA6F" w:rsidR="00970535" w:rsidRPr="00970535" w:rsidRDefault="005B58BF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  <w:r w:rsidR="00970535" w:rsidRPr="00970535">
              <w:rPr>
                <w:rFonts w:ascii="Arial" w:hAnsi="Arial" w:cs="Arial"/>
                <w:b/>
                <w:bCs/>
              </w:rPr>
              <w:t>zasadnienie decyzji negatywnej</w:t>
            </w:r>
          </w:p>
        </w:tc>
      </w:tr>
      <w:tr w:rsidR="00970535" w:rsidRPr="001D213C" w14:paraId="3DAF1DD6" w14:textId="77777777" w:rsidTr="00970535">
        <w:tc>
          <w:tcPr>
            <w:tcW w:w="8262" w:type="dxa"/>
            <w:gridSpan w:val="2"/>
            <w:vMerge/>
            <w:shd w:val="clear" w:color="auto" w:fill="auto"/>
            <w:vAlign w:val="center"/>
          </w:tcPr>
          <w:p w14:paraId="28106509" w14:textId="77777777" w:rsidR="00970535" w:rsidRPr="001D213C" w:rsidRDefault="00970535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800D3C7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2C93409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DE26B2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częściowo</w:t>
            </w:r>
          </w:p>
          <w:p w14:paraId="047F4406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(opis)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16146FD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tak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BED2337" w14:textId="77777777" w:rsidR="00970535" w:rsidRPr="00970535" w:rsidRDefault="00970535" w:rsidP="00B52FFC">
            <w:pPr>
              <w:jc w:val="center"/>
              <w:rPr>
                <w:rFonts w:ascii="Arial" w:hAnsi="Arial" w:cs="Arial"/>
                <w:b/>
                <w:bCs/>
              </w:rPr>
            </w:pPr>
            <w:r w:rsidRPr="00970535">
              <w:rPr>
                <w:rFonts w:ascii="Arial" w:hAnsi="Arial" w:cs="Arial"/>
                <w:b/>
                <w:bCs/>
              </w:rPr>
              <w:t>nie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36CBD83" w14:textId="77777777" w:rsidR="00970535" w:rsidRPr="001D213C" w:rsidRDefault="00970535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B52FFC" w:rsidRPr="001D213C" w14:paraId="799C5AF9" w14:textId="77777777" w:rsidTr="00970535">
        <w:trPr>
          <w:trHeight w:hRule="exact" w:val="369"/>
        </w:trPr>
        <w:tc>
          <w:tcPr>
            <w:tcW w:w="8262" w:type="dxa"/>
            <w:gridSpan w:val="2"/>
            <w:vAlign w:val="center"/>
          </w:tcPr>
          <w:p w14:paraId="7E1AF6DC" w14:textId="77777777" w:rsidR="00B52FFC" w:rsidRPr="001D213C" w:rsidRDefault="00B52FFC" w:rsidP="00B52FFC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Cele zarządzania ryzykiem</w:t>
            </w:r>
          </w:p>
        </w:tc>
        <w:tc>
          <w:tcPr>
            <w:tcW w:w="1019" w:type="dxa"/>
            <w:vAlign w:val="center"/>
          </w:tcPr>
          <w:p w14:paraId="6B7D4FE8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416F5D1C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853CF50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2452F96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633F9389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190BED53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B52FFC" w:rsidRPr="001D213C" w14:paraId="7D019ABE" w14:textId="77777777" w:rsidTr="00970535">
        <w:trPr>
          <w:trHeight w:hRule="exact" w:val="369"/>
        </w:trPr>
        <w:tc>
          <w:tcPr>
            <w:tcW w:w="8262" w:type="dxa"/>
            <w:gridSpan w:val="2"/>
            <w:vAlign w:val="center"/>
          </w:tcPr>
          <w:p w14:paraId="00C78A15" w14:textId="77777777" w:rsidR="00B52FFC" w:rsidRPr="001D213C" w:rsidRDefault="00B52FFC" w:rsidP="00B52FFC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Definicja zarządzania ryzykiem</w:t>
            </w:r>
          </w:p>
        </w:tc>
        <w:tc>
          <w:tcPr>
            <w:tcW w:w="1019" w:type="dxa"/>
            <w:vAlign w:val="center"/>
          </w:tcPr>
          <w:p w14:paraId="0208F4D1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2CA49759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4EF0C2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0C770F3E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4E9087B4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19B2D77D" w14:textId="77777777" w:rsidR="00B52FFC" w:rsidRPr="001D213C" w:rsidRDefault="00B52FFC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4817A9" w:rsidRPr="001D213C" w14:paraId="52FCD468" w14:textId="77777777" w:rsidTr="00970535">
        <w:trPr>
          <w:trHeight w:hRule="exact" w:val="369"/>
        </w:trPr>
        <w:tc>
          <w:tcPr>
            <w:tcW w:w="8262" w:type="dxa"/>
            <w:gridSpan w:val="2"/>
            <w:vAlign w:val="center"/>
          </w:tcPr>
          <w:p w14:paraId="5A167894" w14:textId="77777777" w:rsidR="004817A9" w:rsidRPr="001D213C" w:rsidRDefault="004817A9" w:rsidP="004817A9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Osoby odpowiadające za zarządzanie ryzykiem</w:t>
            </w:r>
          </w:p>
        </w:tc>
        <w:tc>
          <w:tcPr>
            <w:tcW w:w="1019" w:type="dxa"/>
            <w:vAlign w:val="center"/>
          </w:tcPr>
          <w:p w14:paraId="2B1CA287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0493E9F1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9826E4F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5BCEA989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24AC8A2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29FFBCDB" w14:textId="77777777" w:rsidR="004817A9" w:rsidRPr="001D213C" w:rsidRDefault="004817A9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3BF8FBB1" w14:textId="77777777" w:rsidTr="00970535">
        <w:trPr>
          <w:trHeight w:hRule="exact" w:val="369"/>
        </w:trPr>
        <w:tc>
          <w:tcPr>
            <w:tcW w:w="1354" w:type="dxa"/>
            <w:vMerge w:val="restart"/>
            <w:vAlign w:val="center"/>
          </w:tcPr>
          <w:p w14:paraId="486D721F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  <w:p w14:paraId="29BFEF06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Zasady identyfikacji ryzyka</w:t>
            </w:r>
          </w:p>
          <w:p w14:paraId="434171E7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7203D920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objęto procedurą wszystkie szczeble zarządcze</w:t>
            </w:r>
          </w:p>
        </w:tc>
        <w:tc>
          <w:tcPr>
            <w:tcW w:w="1019" w:type="dxa"/>
            <w:vAlign w:val="center"/>
          </w:tcPr>
          <w:p w14:paraId="18AD8914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54707FD5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AE4F7BA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3D00833F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57B7D849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42F13E8A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4F40DBAB" w14:textId="77777777" w:rsidTr="00970535">
        <w:trPr>
          <w:trHeight w:hRule="exact" w:val="369"/>
        </w:trPr>
        <w:tc>
          <w:tcPr>
            <w:tcW w:w="1354" w:type="dxa"/>
            <w:vMerge/>
            <w:vAlign w:val="center"/>
          </w:tcPr>
          <w:p w14:paraId="59DC7AAF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207397FE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opracowano odpowiednie szablony dokumentów</w:t>
            </w:r>
          </w:p>
        </w:tc>
        <w:tc>
          <w:tcPr>
            <w:tcW w:w="1019" w:type="dxa"/>
            <w:vAlign w:val="center"/>
          </w:tcPr>
          <w:p w14:paraId="0D9A9FF4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7FF6FB59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1158FE0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33D58AB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137F7F3A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1D408527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5B051565" w14:textId="77777777" w:rsidTr="00970535">
        <w:trPr>
          <w:trHeight w:hRule="exact" w:val="369"/>
        </w:trPr>
        <w:tc>
          <w:tcPr>
            <w:tcW w:w="1354" w:type="dxa"/>
            <w:vMerge/>
            <w:vAlign w:val="center"/>
          </w:tcPr>
          <w:p w14:paraId="0638194C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7BF1602F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umożliwiono identyfikację ryzyka każdemu pracownikowi</w:t>
            </w:r>
          </w:p>
        </w:tc>
        <w:tc>
          <w:tcPr>
            <w:tcW w:w="1019" w:type="dxa"/>
            <w:vAlign w:val="center"/>
          </w:tcPr>
          <w:p w14:paraId="7603E49B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0E660021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A1FA22A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A9D1D98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68851F44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560D65BE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55A86FFF" w14:textId="77777777" w:rsidTr="008866F6">
        <w:trPr>
          <w:trHeight w:hRule="exact" w:val="510"/>
        </w:trPr>
        <w:tc>
          <w:tcPr>
            <w:tcW w:w="1354" w:type="dxa"/>
            <w:vMerge/>
            <w:vAlign w:val="center"/>
          </w:tcPr>
          <w:p w14:paraId="6D12A8B1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17334671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wprowadzono zasadę identyfikacji ryzyka w odniesieniu do celów, zadań, podzadań, działań</w:t>
            </w:r>
          </w:p>
        </w:tc>
        <w:tc>
          <w:tcPr>
            <w:tcW w:w="1019" w:type="dxa"/>
            <w:vAlign w:val="center"/>
          </w:tcPr>
          <w:p w14:paraId="25221D6B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28CF4679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2CF5711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574BE91D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163AD162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697F59E4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6190CF50" w14:textId="77777777" w:rsidTr="008866F6">
        <w:trPr>
          <w:trHeight w:hRule="exact" w:val="510"/>
        </w:trPr>
        <w:tc>
          <w:tcPr>
            <w:tcW w:w="1354" w:type="dxa"/>
            <w:vMerge/>
            <w:vAlign w:val="center"/>
          </w:tcPr>
          <w:p w14:paraId="39DD6041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4B4AF05D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wprowadzono zasadę identyfikacji ryzyka w działalności operacyjnej</w:t>
            </w:r>
          </w:p>
        </w:tc>
        <w:tc>
          <w:tcPr>
            <w:tcW w:w="1019" w:type="dxa"/>
            <w:vAlign w:val="center"/>
          </w:tcPr>
          <w:p w14:paraId="14F4046B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705A2E2C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4EAA3BC1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73C338FF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36E7F55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61179A8C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505ACA" w:rsidRPr="001D213C" w14:paraId="4CF3DFEC" w14:textId="77777777" w:rsidTr="00970535">
        <w:trPr>
          <w:trHeight w:hRule="exact" w:val="369"/>
        </w:trPr>
        <w:tc>
          <w:tcPr>
            <w:tcW w:w="1354" w:type="dxa"/>
            <w:vMerge/>
            <w:vAlign w:val="center"/>
          </w:tcPr>
          <w:p w14:paraId="0B6E23D5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08" w:type="dxa"/>
            <w:vAlign w:val="center"/>
          </w:tcPr>
          <w:p w14:paraId="7E0DFC69" w14:textId="77777777" w:rsidR="00505ACA" w:rsidRPr="001D213C" w:rsidRDefault="00505ACA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wprowadzono rejestry (kwestionariusze) zarządzania ryzykiem</w:t>
            </w:r>
          </w:p>
        </w:tc>
        <w:tc>
          <w:tcPr>
            <w:tcW w:w="1019" w:type="dxa"/>
            <w:vAlign w:val="center"/>
          </w:tcPr>
          <w:p w14:paraId="79994B44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08E96B1D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7DBEF14D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13C18E7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19940833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5F0B3B6E" w14:textId="77777777" w:rsidR="00505ACA" w:rsidRPr="001D213C" w:rsidRDefault="00505ACA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7729CEAF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7F0A273F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Procedura analizy ryzyka</w:t>
            </w:r>
          </w:p>
        </w:tc>
        <w:tc>
          <w:tcPr>
            <w:tcW w:w="1019" w:type="dxa"/>
            <w:vAlign w:val="center"/>
          </w:tcPr>
          <w:p w14:paraId="4390A50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1F1700CA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0860EA9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41ED5BF6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49EDBBCA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404A22E7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45C6DDD5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65FD82C0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Obowiązki właścicieli ryzyka</w:t>
            </w:r>
          </w:p>
        </w:tc>
        <w:tc>
          <w:tcPr>
            <w:tcW w:w="1019" w:type="dxa"/>
            <w:vAlign w:val="center"/>
          </w:tcPr>
          <w:p w14:paraId="498DEBF2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64A187D7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3E536A6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B6E353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3DFCD16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26F951E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04987731" w14:textId="77777777" w:rsidTr="00970535">
        <w:trPr>
          <w:trHeight w:hRule="exact" w:val="369"/>
        </w:trPr>
        <w:tc>
          <w:tcPr>
            <w:tcW w:w="8262" w:type="dxa"/>
            <w:gridSpan w:val="2"/>
            <w:vAlign w:val="center"/>
          </w:tcPr>
          <w:p w14:paraId="1F3EF0DC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Zasady reagowania na określone poziomy ryzyka</w:t>
            </w:r>
          </w:p>
        </w:tc>
        <w:tc>
          <w:tcPr>
            <w:tcW w:w="1019" w:type="dxa"/>
            <w:vAlign w:val="center"/>
          </w:tcPr>
          <w:p w14:paraId="4CAAEBE2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54280D46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F921DE8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43922133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58108C26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0DDD79D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6889E901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5EE84B18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Procedura projektowania narzędzi zarządczych</w:t>
            </w:r>
          </w:p>
        </w:tc>
        <w:tc>
          <w:tcPr>
            <w:tcW w:w="1019" w:type="dxa"/>
            <w:vAlign w:val="center"/>
          </w:tcPr>
          <w:p w14:paraId="1095BE13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5BA99706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14139CE5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4F76BD4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19474C12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5F3DFFC4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42A3CC92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1A50FF99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Zasady monitoringu skuteczności systemu kontroli zarządczej</w:t>
            </w:r>
          </w:p>
        </w:tc>
        <w:tc>
          <w:tcPr>
            <w:tcW w:w="1019" w:type="dxa"/>
            <w:vAlign w:val="center"/>
          </w:tcPr>
          <w:p w14:paraId="306A52E5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79FAEB83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2A29F60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6CF501E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7A415ADF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38482442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1EF1CDD2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1309A2A1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Sposób dokumentowania procesu zarządzania ryzykiem</w:t>
            </w:r>
          </w:p>
        </w:tc>
        <w:tc>
          <w:tcPr>
            <w:tcW w:w="1019" w:type="dxa"/>
            <w:vAlign w:val="center"/>
          </w:tcPr>
          <w:p w14:paraId="73B0AE7C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5C22CD7F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3E32641E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2E37AAB7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89D03D3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2AA88B39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665BEE2A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4C6E9D81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Terminy</w:t>
            </w:r>
          </w:p>
        </w:tc>
        <w:tc>
          <w:tcPr>
            <w:tcW w:w="1019" w:type="dxa"/>
            <w:vAlign w:val="center"/>
          </w:tcPr>
          <w:p w14:paraId="4A9D3288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0BA86EFD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57B6A2BF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148E542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333E283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7298AE19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  <w:tr w:rsidR="007804A7" w:rsidRPr="001D213C" w14:paraId="2C241077" w14:textId="77777777" w:rsidTr="00970535">
        <w:trPr>
          <w:trHeight w:val="369"/>
        </w:trPr>
        <w:tc>
          <w:tcPr>
            <w:tcW w:w="8262" w:type="dxa"/>
            <w:gridSpan w:val="2"/>
            <w:vAlign w:val="center"/>
          </w:tcPr>
          <w:p w14:paraId="1A74BC94" w14:textId="77777777" w:rsidR="007804A7" w:rsidRPr="001D213C" w:rsidRDefault="007804A7" w:rsidP="00505ACA">
            <w:pPr>
              <w:rPr>
                <w:rFonts w:ascii="Arial" w:hAnsi="Arial" w:cs="Arial"/>
              </w:rPr>
            </w:pPr>
            <w:r w:rsidRPr="001D213C">
              <w:rPr>
                <w:rFonts w:ascii="Arial" w:hAnsi="Arial" w:cs="Arial"/>
              </w:rPr>
              <w:t>Osoby koordynujące proces</w:t>
            </w:r>
          </w:p>
        </w:tc>
        <w:tc>
          <w:tcPr>
            <w:tcW w:w="1019" w:type="dxa"/>
            <w:vAlign w:val="center"/>
          </w:tcPr>
          <w:p w14:paraId="0B734AE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vAlign w:val="center"/>
          </w:tcPr>
          <w:p w14:paraId="610DC1F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14:paraId="67D7A541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vAlign w:val="center"/>
          </w:tcPr>
          <w:p w14:paraId="56EB9E1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vAlign w:val="center"/>
          </w:tcPr>
          <w:p w14:paraId="281D5670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vAlign w:val="center"/>
          </w:tcPr>
          <w:p w14:paraId="0889DE5B" w14:textId="77777777" w:rsidR="007804A7" w:rsidRPr="001D213C" w:rsidRDefault="007804A7" w:rsidP="00B52FF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E8005B" w14:textId="7F0C7A17" w:rsidR="007804A7" w:rsidRDefault="007804A7">
      <w:pPr>
        <w:rPr>
          <w:rFonts w:ascii="Arial" w:hAnsi="Arial" w:cs="Arial"/>
        </w:rPr>
      </w:pPr>
    </w:p>
    <w:p w14:paraId="1CB4D232" w14:textId="77777777" w:rsidR="00957B64" w:rsidRDefault="00957B64" w:rsidP="00957B64">
      <w:pPr>
        <w:spacing w:after="0"/>
        <w:rPr>
          <w:rFonts w:ascii="Arial" w:hAnsi="Arial" w:cs="Arial"/>
        </w:rPr>
      </w:pPr>
    </w:p>
    <w:p w14:paraId="4E628849" w14:textId="21D330D3" w:rsidR="007804A7" w:rsidRDefault="007804A7" w:rsidP="007804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7F16AC">
        <w:rPr>
          <w:rFonts w:ascii="Arial" w:hAnsi="Arial" w:cs="Arial"/>
        </w:rPr>
        <w:t xml:space="preserve">                                    ..…</w:t>
      </w:r>
      <w:r>
        <w:rPr>
          <w:rFonts w:ascii="Arial" w:hAnsi="Arial" w:cs="Arial"/>
        </w:rPr>
        <w:t>………………………………………</w:t>
      </w:r>
    </w:p>
    <w:p w14:paraId="35134192" w14:textId="77777777" w:rsidR="007804A7" w:rsidRPr="007804A7" w:rsidRDefault="007804A7" w:rsidP="007F16AC">
      <w:pPr>
        <w:spacing w:after="0"/>
        <w:ind w:firstLine="10773"/>
        <w:rPr>
          <w:rFonts w:ascii="Arial" w:hAnsi="Arial" w:cs="Arial"/>
          <w:sz w:val="18"/>
          <w:szCs w:val="18"/>
        </w:rPr>
      </w:pPr>
      <w:r w:rsidRPr="007804A7">
        <w:rPr>
          <w:rFonts w:ascii="Arial" w:hAnsi="Arial" w:cs="Arial"/>
          <w:sz w:val="18"/>
          <w:szCs w:val="18"/>
        </w:rPr>
        <w:t>Kierownik jednostki (data i podpis)</w:t>
      </w:r>
    </w:p>
    <w:sectPr w:rsidR="007804A7" w:rsidRPr="007804A7" w:rsidSect="00970535">
      <w:headerReference w:type="default" r:id="rId6"/>
      <w:pgSz w:w="16838" w:h="11906" w:orient="landscape"/>
      <w:pgMar w:top="709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86F0D" w14:textId="77777777" w:rsidR="00E33A41" w:rsidRDefault="00E33A41" w:rsidP="00A96962">
      <w:pPr>
        <w:spacing w:after="0" w:line="240" w:lineRule="auto"/>
      </w:pPr>
      <w:r>
        <w:separator/>
      </w:r>
    </w:p>
  </w:endnote>
  <w:endnote w:type="continuationSeparator" w:id="0">
    <w:p w14:paraId="46DD71FB" w14:textId="77777777" w:rsidR="00E33A41" w:rsidRDefault="00E33A41" w:rsidP="00A9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8E87" w14:textId="77777777" w:rsidR="00E33A41" w:rsidRDefault="00E33A41" w:rsidP="00A96962">
      <w:pPr>
        <w:spacing w:after="0" w:line="240" w:lineRule="auto"/>
      </w:pPr>
      <w:r>
        <w:separator/>
      </w:r>
    </w:p>
  </w:footnote>
  <w:footnote w:type="continuationSeparator" w:id="0">
    <w:p w14:paraId="7F55FC94" w14:textId="77777777" w:rsidR="00E33A41" w:rsidRDefault="00E33A41" w:rsidP="00A9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49798"/>
      <w:docPartObj>
        <w:docPartGallery w:val="Page Numbers (Top of Page)"/>
        <w:docPartUnique/>
      </w:docPartObj>
    </w:sdtPr>
    <w:sdtEndPr/>
    <w:sdtContent>
      <w:p w14:paraId="2109F304" w14:textId="77777777" w:rsidR="00A96962" w:rsidRDefault="009132B9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C9B20" w14:textId="77777777" w:rsidR="00A96962" w:rsidRDefault="00A969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C"/>
    <w:rsid w:val="00081BA1"/>
    <w:rsid w:val="000A18D6"/>
    <w:rsid w:val="001A198B"/>
    <w:rsid w:val="001D213C"/>
    <w:rsid w:val="002B111D"/>
    <w:rsid w:val="00412225"/>
    <w:rsid w:val="004817A9"/>
    <w:rsid w:val="00505ACA"/>
    <w:rsid w:val="005B545D"/>
    <w:rsid w:val="005B58BF"/>
    <w:rsid w:val="007804A7"/>
    <w:rsid w:val="007F16AC"/>
    <w:rsid w:val="00847DB6"/>
    <w:rsid w:val="00851F65"/>
    <w:rsid w:val="008866F6"/>
    <w:rsid w:val="008C2C8A"/>
    <w:rsid w:val="009132B9"/>
    <w:rsid w:val="00957B64"/>
    <w:rsid w:val="00967804"/>
    <w:rsid w:val="00970535"/>
    <w:rsid w:val="009C2DC0"/>
    <w:rsid w:val="00A73805"/>
    <w:rsid w:val="00A96962"/>
    <w:rsid w:val="00B52FFC"/>
    <w:rsid w:val="00DA2FA2"/>
    <w:rsid w:val="00E33A41"/>
    <w:rsid w:val="00F8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5E"/>
  <w15:docId w15:val="{89601292-2A10-4EC5-A5EA-6F9DC8C9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rsid w:val="00B52FFC"/>
    <w:pPr>
      <w:keepNext/>
      <w:keepLines/>
      <w:widowControl w:val="0"/>
      <w:suppressAutoHyphens/>
      <w:autoSpaceDE w:val="0"/>
      <w:autoSpaceDN w:val="0"/>
      <w:adjustRightInd w:val="0"/>
      <w:spacing w:before="113" w:after="113" w:line="280" w:lineRule="atLeast"/>
      <w:jc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B5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9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96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69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Maja Niewiadomska</cp:lastModifiedBy>
  <cp:revision>6</cp:revision>
  <cp:lastPrinted>2023-01-11T08:49:00Z</cp:lastPrinted>
  <dcterms:created xsi:type="dcterms:W3CDTF">2022-12-19T13:34:00Z</dcterms:created>
  <dcterms:modified xsi:type="dcterms:W3CDTF">2023-01-11T08:51:00Z</dcterms:modified>
</cp:coreProperties>
</file>