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64" w:rsidRDefault="00322664" w:rsidP="0032266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38 ust. 1 ustawy z dnia 29 stycznia 2004r. Prawo zamówień publicznych (Dz. U. z 2015 r. poz. 2164) Zamawiający udziela wyjaśnień dotyczących treści SIWZ w postępowaniu prowadzonym w trybie przetargu nieograniczonego na zadanie pod nazwą: „Budowa hali sportowej przy Szkole Podstawowej w Piławie Górnej”.</w:t>
      </w: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Pytanie</w:t>
      </w:r>
      <w:r>
        <w:rPr>
          <w:b/>
          <w:color w:val="auto"/>
          <w:u w:val="single"/>
        </w:rPr>
        <w:t xml:space="preserve"> 30</w:t>
      </w:r>
      <w:r>
        <w:rPr>
          <w:b/>
          <w:color w:val="auto"/>
          <w:u w:val="single"/>
        </w:rPr>
        <w:t xml:space="preserve">  </w:t>
      </w:r>
    </w:p>
    <w:p w:rsidR="00322664" w:rsidRDefault="00322664" w:rsidP="00322664">
      <w:pPr>
        <w:pStyle w:val="Default"/>
        <w:jc w:val="both"/>
      </w:pPr>
      <w:r>
        <w:t>W związku z niniejszym postępowaniem przetargowym bardzo prosimy o odniesienie się do poniższych kwestii, związanych z przedstawionym przez Zamawiającego projektem umowy, tj.:</w:t>
      </w:r>
    </w:p>
    <w:p w:rsidR="00322664" w:rsidRDefault="00322664" w:rsidP="00322664">
      <w:pPr>
        <w:pStyle w:val="Default"/>
        <w:numPr>
          <w:ilvl w:val="1"/>
          <w:numId w:val="1"/>
        </w:numPr>
        <w:ind w:left="426"/>
        <w:jc w:val="both"/>
      </w:pPr>
      <w:r>
        <w:t xml:space="preserve">§5, ustęp 5, punkt 1). Punkt brzmi: „Strony ustalają, że wniesione zabezpieczenie należytego wykonania umowy zostanie zwrócone w następujący sposób: 1) 70% </w:t>
      </w:r>
      <w:r>
        <w:br/>
        <w:t>w terminie 30 dni od dnia wykonania przedmiotu Umowy i uznania go przez Zamawiającego za należycie wykonane”.</w:t>
      </w:r>
    </w:p>
    <w:p w:rsidR="00322664" w:rsidRDefault="00322664" w:rsidP="00322664">
      <w:pPr>
        <w:pStyle w:val="Default"/>
        <w:ind w:left="426"/>
        <w:jc w:val="both"/>
      </w:pPr>
      <w:r>
        <w:t xml:space="preserve">Czy należy rozumieć w/w zapis w ten sposób, że po wykonaniu przedmiotu umowy Zamawiający będzie formułował specjalne oświadczenie - że przedmiot umowy został należycie wykonany? Jeżeli będą wady lub usterki, to przecież Zamawiającemu przysługują uprawnienia z tytułu gwarancji i rękojmi. W związku z tym wnosimy </w:t>
      </w:r>
      <w:r>
        <w:br/>
        <w:t>o wykreślenie tego zapisu lub jego modyfikację.</w:t>
      </w:r>
    </w:p>
    <w:p w:rsidR="00322664" w:rsidRDefault="00322664" w:rsidP="00322664">
      <w:pPr>
        <w:pStyle w:val="Default"/>
        <w:numPr>
          <w:ilvl w:val="1"/>
          <w:numId w:val="1"/>
        </w:numPr>
        <w:ind w:left="426"/>
        <w:jc w:val="both"/>
      </w:pPr>
      <w:r>
        <w:t>§5, ustęp 5, tj.: „W przypadku niewykonania lub nienależytego wykonania przedmiotu Umowy zabezpieczenie staje się własnością Zamawiającego i będzie wykorzystane do zgodnego z Umową wykonania robót i pokrycia roszczeń z tytułu rękojmi i gwarancji za wykonane roboty”.</w:t>
      </w:r>
    </w:p>
    <w:p w:rsidR="00322664" w:rsidRDefault="00322664" w:rsidP="00322664">
      <w:pPr>
        <w:pStyle w:val="Default"/>
        <w:ind w:left="426"/>
        <w:jc w:val="both"/>
      </w:pPr>
      <w:r>
        <w:t>Wnosimy o zmianę zapisu, poprzez doprecyzowanie, że zabezpieczenie będzie mogło być wykorzystane do wysokości służącej pokryciu roszczeń z tytułu rękojmi i gwarancji.</w:t>
      </w:r>
    </w:p>
    <w:p w:rsidR="00322664" w:rsidRDefault="00322664" w:rsidP="00322664">
      <w:pPr>
        <w:pStyle w:val="Default"/>
        <w:numPr>
          <w:ilvl w:val="1"/>
          <w:numId w:val="1"/>
        </w:numPr>
        <w:ind w:left="426"/>
        <w:jc w:val="both"/>
      </w:pPr>
      <w:r>
        <w:t xml:space="preserve">§7, ustęp 14, tj.: „Wykonawca ma obowiązek uczestniczyć w naradach koordynacyjnych na budowie, organizowanych przez Inwestora Zastępczego co najmniej jeden raz </w:t>
      </w:r>
      <w:r>
        <w:br/>
        <w:t xml:space="preserve">w tygodniu, w terminach uzgodnionych z Inwestorem Zastępczym </w:t>
      </w:r>
      <w:r>
        <w:rPr>
          <w:b/>
          <w:u w:val="single"/>
        </w:rPr>
        <w:t>oraz we wszystkich spotkaniach niezbędnych dla prawidłowej realizacji inwestycji</w:t>
      </w:r>
      <w:r>
        <w:t>. W naradach ze strony Zamawiającego udział biorą przedstawiciel Inwestora Zastępczego, Inspektorzy nadzoru, przedstawiciel Zamawiającego oraz Projektant lub osoby wchodzące w skład zespołu projektowego, w ramach nadzoru autorskiego. W naradach ze strony Wykonawcy udział biorą Kierownik budowy oraz Kierownicy robót, przedstawiciel Wykonawcy, w razie konieczności pracownicy Wykonawcy realizujący dany zakres robót, który będzie omawiany na naradzie.”</w:t>
      </w:r>
    </w:p>
    <w:p w:rsidR="00322664" w:rsidRDefault="00322664" w:rsidP="00322664">
      <w:pPr>
        <w:pStyle w:val="Default"/>
        <w:ind w:left="426"/>
        <w:jc w:val="both"/>
      </w:pPr>
      <w:r>
        <w:t>Wnosimy o zmianę zapisu. Wykonawca nie może zobowiązać się do przestrzegania wymagań, których treść nie jest znana („…</w:t>
      </w:r>
      <w:r>
        <w:rPr>
          <w:b/>
          <w:u w:val="single"/>
        </w:rPr>
        <w:t>oraz we wszystkich spotkaniach niezbędnych dla prawidłowej realizacji inwestycji.</w:t>
      </w:r>
      <w:r>
        <w:t>).</w:t>
      </w:r>
    </w:p>
    <w:p w:rsidR="00322664" w:rsidRDefault="00322664" w:rsidP="00322664">
      <w:pPr>
        <w:pStyle w:val="Default"/>
        <w:numPr>
          <w:ilvl w:val="1"/>
          <w:numId w:val="1"/>
        </w:numPr>
        <w:ind w:left="426"/>
        <w:jc w:val="both"/>
      </w:pPr>
      <w:r>
        <w:t>§9, ustęp 20, tj.: „Jeżeli przyczyna, z powodu której będzie zagrożone dotrzymanie terminu zakończenia robót lub określonego terminu zakończenia etapu robót budowlanych wynika z winy Wykonawcy, Wykonawca nie jest uprawniony do wystąpienia do Zamawiającego o przedłużenie terminu zakończenia robót oraz odpowiednio etapów robót.”</w:t>
      </w:r>
    </w:p>
    <w:p w:rsidR="00322664" w:rsidRDefault="00322664" w:rsidP="00322664">
      <w:pPr>
        <w:pStyle w:val="Default"/>
        <w:ind w:left="426"/>
        <w:jc w:val="both"/>
      </w:pPr>
      <w:r>
        <w:t xml:space="preserve">Prosimy o zmianę poprzez wprowadzenie zapisu, że z </w:t>
      </w:r>
      <w:r>
        <w:rPr>
          <w:b/>
          <w:u w:val="single"/>
        </w:rPr>
        <w:t>wyłącznej</w:t>
      </w:r>
      <w:r>
        <w:t xml:space="preserve"> winy Wykonawcy</w:t>
      </w:r>
    </w:p>
    <w:p w:rsidR="00322664" w:rsidRDefault="00322664" w:rsidP="00322664">
      <w:pPr>
        <w:pStyle w:val="Default"/>
        <w:numPr>
          <w:ilvl w:val="1"/>
          <w:numId w:val="1"/>
        </w:numPr>
        <w:ind w:left="426"/>
        <w:jc w:val="both"/>
      </w:pPr>
      <w:r>
        <w:t xml:space="preserve">§9, ustęp 21, tj.: „Harmonogram rzeczowo-finansowy będzie uwzględniał także wykonanie czynności administracyjnych, w następstwie których Zamawiający będzie mógł korzystać z wykonanego przedmiotu Umowy zgodnie z jego przeznaczeniem.” </w:t>
      </w:r>
    </w:p>
    <w:p w:rsidR="00322664" w:rsidRDefault="00322664" w:rsidP="00322664">
      <w:pPr>
        <w:pStyle w:val="Default"/>
        <w:ind w:left="426"/>
        <w:jc w:val="both"/>
      </w:pPr>
      <w:r>
        <w:t xml:space="preserve">Proszę o doprecyzowanie o jakim zakresie czynności administracyjnych mowa </w:t>
      </w:r>
      <w:r>
        <w:br/>
        <w:t>w niniejszym przepisie.</w:t>
      </w:r>
    </w:p>
    <w:p w:rsidR="00322664" w:rsidRDefault="00322664" w:rsidP="00322664">
      <w:pPr>
        <w:pStyle w:val="Default"/>
        <w:numPr>
          <w:ilvl w:val="1"/>
          <w:numId w:val="1"/>
        </w:numPr>
        <w:ind w:left="426"/>
        <w:jc w:val="both"/>
      </w:pPr>
      <w:r>
        <w:t>KARTA GWARANCYJNA, punkt 2, podpunkt 5, tj.: „Wykonawca zobowiązuje się do usunięcia wad w terminie do 14 dni od daty powiadomienia przez Zamawiającego.”</w:t>
      </w:r>
    </w:p>
    <w:p w:rsidR="00322664" w:rsidRDefault="00322664" w:rsidP="00322664">
      <w:pPr>
        <w:pStyle w:val="Default"/>
        <w:ind w:left="426"/>
        <w:jc w:val="both"/>
      </w:pPr>
      <w:r>
        <w:t xml:space="preserve">Proszę o dostosowanie tego zapisu do brzmienia zgodnego z warunkami umowy - tj. do zapisu §13, ustęp 2: „W okresie gwarancji Wykonawca zobowiązuje się do usunięcia na </w:t>
      </w:r>
      <w:r>
        <w:lastRenderedPageBreak/>
        <w:t xml:space="preserve">koszt własny usterek powstałych z przyczyn zawinionych przez Wykonawcę </w:t>
      </w:r>
      <w:r>
        <w:br/>
        <w:t>w terminie 14 dni, od dnia zgłoszenia, jeżeli będzie to możliwe technicznie lub w innym terminie uzgodnionym przez Strony.”</w:t>
      </w:r>
    </w:p>
    <w:p w:rsidR="00322664" w:rsidRDefault="00322664" w:rsidP="00322664">
      <w:pPr>
        <w:pStyle w:val="Default"/>
        <w:jc w:val="both"/>
        <w:rPr>
          <w:b/>
          <w:color w:val="auto"/>
          <w:sz w:val="22"/>
          <w:szCs w:val="22"/>
        </w:rPr>
      </w:pPr>
    </w:p>
    <w:p w:rsidR="00322664" w:rsidRDefault="00322664" w:rsidP="0032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Ad. 1.1. Zapis zgodny z art. 151 ust.  1 ustawy </w:t>
      </w:r>
      <w:r>
        <w:rPr>
          <w:rFonts w:ascii="Times New Roman" w:hAnsi="Times New Roman" w:cs="Times New Roman"/>
          <w:bCs/>
          <w:sz w:val="24"/>
          <w:szCs w:val="24"/>
        </w:rPr>
        <w:t>Prawo zamówień publicznych (Dz. U. z 2015r. poz. 2164).</w:t>
      </w:r>
    </w:p>
    <w:p w:rsidR="00322664" w:rsidRDefault="00322664" w:rsidP="0032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Ad. 1.2. </w:t>
      </w:r>
      <w:r>
        <w:rPr>
          <w:rFonts w:ascii="Times New Roman" w:hAnsi="Times New Roman" w:cs="Times New Roman"/>
          <w:sz w:val="24"/>
          <w:szCs w:val="24"/>
        </w:rPr>
        <w:t xml:space="preserve">Zapis zgodny z art. 151 ust.  2 ustawy </w:t>
      </w:r>
      <w:r>
        <w:rPr>
          <w:rFonts w:ascii="Times New Roman" w:hAnsi="Times New Roman" w:cs="Times New Roman"/>
          <w:bCs/>
          <w:sz w:val="24"/>
          <w:szCs w:val="24"/>
        </w:rPr>
        <w:t>Prawo zamówień publicznych (Dz. U. z 2015r. poz. 2164).</w:t>
      </w:r>
    </w:p>
    <w:p w:rsidR="00322664" w:rsidRDefault="00322664" w:rsidP="0032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1.3. Narady i spotkania będą organizowane m.in. w celu umożliwienia Wykonawcy zapoznania się z treścią wymagań.</w:t>
      </w:r>
    </w:p>
    <w:p w:rsidR="00322664" w:rsidRDefault="00322664" w:rsidP="0032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1.4. Zamawiający nie zmieni treści §9, ust. 20 projektu umowy.</w:t>
      </w:r>
    </w:p>
    <w:p w:rsidR="00322664" w:rsidRDefault="00322664" w:rsidP="0032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1.5. Zapis dotyczy wszystkich czynności administracyjnych jakie są niezbędne do wykonania przedmiotu zamówienia, w tym  uzyskanie w imieniu Zamawiającego pozwolenia na użytkowanie hali sportowej.</w:t>
      </w:r>
    </w:p>
    <w:p w:rsidR="00322664" w:rsidRDefault="00322664" w:rsidP="0032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Ad.1.6. Karta Gwarancyjna stanowi załącznik do Umowy i jej zapisy należy traktować komplementarnie z zapisami Umowy. 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31</w:t>
      </w:r>
      <w:r>
        <w:rPr>
          <w:b/>
          <w:color w:val="auto"/>
          <w:u w:val="single"/>
        </w:rPr>
        <w:t xml:space="preserve"> 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opis techniczny branży architektura.  W opisie tym ujęto informację n/t projektowanego wyposażenia sali gimnastycznej do zajęć fitness (str. 2), tj. m.in.: </w:t>
      </w:r>
      <w:r>
        <w:rPr>
          <w:rFonts w:ascii="Times New Roman" w:hAnsi="Times New Roman" w:cs="Times New Roman"/>
          <w:b/>
          <w:sz w:val="24"/>
          <w:szCs w:val="24"/>
        </w:rPr>
        <w:t xml:space="preserve">„głośniki, sprzęt audio i TV z możliwością podłączenia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przekazanej dokumentacji brak jakichkolwiek informacji na ten temat. Jeżeli element ten ma być objęty niniejszym postępowaniem i Zamawiający oczekuje, aby potencjalni wykonawcy ujęli go w swoich ofertach, to proszę o pilne i jednoznaczne określenie parametrów przewidzianego do dostarczenia sprzętu audio i TV (wraz z ewentualnym wskazaniem potencjalnego producenta - jako przykładowego, co w wydatny sposób pomoże określić oczekiwany standard sprzętu).  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31</w:t>
      </w:r>
    </w:p>
    <w:p w:rsidR="00322664" w:rsidRDefault="00322664" w:rsidP="00322664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W.w</w:t>
      </w:r>
      <w:proofErr w:type="spellEnd"/>
      <w:r>
        <w:rPr>
          <w:color w:val="auto"/>
        </w:rPr>
        <w:t xml:space="preserve"> sprzęt nie jest objęty postępowaniem.</w:t>
      </w:r>
    </w:p>
    <w:p w:rsidR="00322664" w:rsidRDefault="00322664" w:rsidP="00322664">
      <w:pPr>
        <w:pStyle w:val="Default"/>
        <w:jc w:val="both"/>
        <w:rPr>
          <w:color w:val="auto"/>
        </w:rPr>
      </w:pP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32</w:t>
      </w:r>
      <w:r>
        <w:rPr>
          <w:b/>
          <w:color w:val="auto"/>
          <w:u w:val="single"/>
        </w:rPr>
        <w:t xml:space="preserve"> 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opis techniczny branży architektura. W opisie tym, w punkcie 6, str. 3, ujęto informację: „Na dachu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należy przewidzieć montaż uchwytów</w:t>
      </w:r>
      <w:r>
        <w:rPr>
          <w:rFonts w:ascii="Times New Roman" w:hAnsi="Times New Roman" w:cs="Times New Roman"/>
          <w:sz w:val="24"/>
          <w:szCs w:val="24"/>
        </w:rPr>
        <w:t xml:space="preserve"> do mocowania lin asekuracyjnych przy pracach na dachu (np. przy odśnieżaniu), wg opracowania </w:t>
      </w:r>
      <w:r>
        <w:rPr>
          <w:rFonts w:ascii="Times New Roman" w:hAnsi="Times New Roman" w:cs="Times New Roman"/>
          <w:sz w:val="24"/>
          <w:szCs w:val="24"/>
        </w:rPr>
        <w:br/>
        <w:t xml:space="preserve">w projekcie wykonawczym”. 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przekazanej dokumentacji brak jakichkolwiek informacji na ten temat. Jeżeli w/w uchwyty należy ująć w opracowywanej ofercie, to bardzo proszę o pilne i jednoznaczne określenie ich liczby i rozstawu.</w:t>
      </w: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32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Należy przewidzieć: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- 4 zaczepy w kalenicy. W tym 2 końcowe mocowane do wieńca i 2 pośrednie mocowane do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konstrukcji,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- 4 zaczepy punktowe mocowane na połaci,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- 5 zaczepów końcowych mocowanych do wieńców przy okapie.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Linę asekuracyjną wzdłuż kalenicy i dwie liny od drabin do kalenicy.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33</w:t>
      </w:r>
      <w:r>
        <w:rPr>
          <w:b/>
          <w:color w:val="auto"/>
          <w:u w:val="single"/>
        </w:rPr>
        <w:t xml:space="preserve"> 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branża architektura, rys. nr 4, „Rzut dachu”. Na rysunku tym ujęto, przy osiach A-3, klapę wyłazową. W przekazanej dokumentacji brak jakichkolwiek informacji na jej temat. W związku z tym prosimy o określenie:</w:t>
      </w:r>
    </w:p>
    <w:p w:rsidR="00322664" w:rsidRDefault="00322664" w:rsidP="00322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wymiarów</w:t>
      </w:r>
    </w:p>
    <w:p w:rsidR="00322664" w:rsidRDefault="00322664" w:rsidP="00322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ewentualnej klasy ppoż.</w:t>
      </w:r>
    </w:p>
    <w:p w:rsidR="00322664" w:rsidRDefault="00322664" w:rsidP="00322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współczynnika przenikania ciepła</w:t>
      </w:r>
    </w:p>
    <w:p w:rsidR="00322664" w:rsidRDefault="00322664" w:rsidP="00322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projektowanych rozwiązań materiałowych</w:t>
      </w:r>
    </w:p>
    <w:p w:rsidR="00322664" w:rsidRDefault="00322664" w:rsidP="00322664">
      <w:pPr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33</w:t>
      </w:r>
    </w:p>
    <w:p w:rsidR="00322664" w:rsidRDefault="00322664" w:rsidP="00322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Klapa wyłazowa 120 x 120 ( zgodnie z projektem w branży konstrukcyjnej) bez wymogów klasy ppoż., termoizolacyjna </w:t>
      </w:r>
      <w:proofErr w:type="spellStart"/>
      <w:r>
        <w:rPr>
          <w:color w:val="auto"/>
        </w:rPr>
        <w:t>Urc</w:t>
      </w:r>
      <w:proofErr w:type="spellEnd"/>
      <w:r>
        <w:rPr>
          <w:color w:val="auto"/>
        </w:rPr>
        <w:t xml:space="preserve"> = 1.5W/(m</w:t>
      </w:r>
      <w:r>
        <w:rPr>
          <w:color w:val="auto"/>
          <w:vertAlign w:val="superscript"/>
        </w:rPr>
        <w:t>2</w:t>
      </w:r>
      <w:r>
        <w:rPr>
          <w:color w:val="auto"/>
        </w:rPr>
        <w:t xml:space="preserve">xK) lub lepszy ( jak dla okien połaciowych), </w:t>
      </w:r>
      <w:proofErr w:type="spellStart"/>
      <w:r>
        <w:rPr>
          <w:color w:val="auto"/>
        </w:rPr>
        <w:t>rozw</w:t>
      </w:r>
      <w:proofErr w:type="spellEnd"/>
      <w:r>
        <w:rPr>
          <w:color w:val="auto"/>
        </w:rPr>
        <w:t>. materiałowe: np. poliwęglanowa płyta komorowa.</w:t>
      </w:r>
    </w:p>
    <w:p w:rsidR="00322664" w:rsidRDefault="00322664" w:rsidP="00322664">
      <w:pPr>
        <w:pStyle w:val="Default"/>
        <w:jc w:val="both"/>
        <w:rPr>
          <w:color w:val="auto"/>
        </w:rPr>
      </w:pP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34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opis techniczny branży architektura. W opisie tym, w punkcie 7, str. 6, ujęto informację: „Projektowane </w:t>
      </w:r>
      <w:r>
        <w:rPr>
          <w:rFonts w:ascii="Times New Roman" w:hAnsi="Times New Roman" w:cs="Times New Roman"/>
          <w:sz w:val="24"/>
          <w:szCs w:val="24"/>
          <w:u w:val="single"/>
        </w:rPr>
        <w:t>pomieszczenie WC niepełnosprawnych należy wykonać</w:t>
      </w:r>
      <w:r>
        <w:rPr>
          <w:rFonts w:ascii="Times New Roman" w:hAnsi="Times New Roman" w:cs="Times New Roman"/>
          <w:sz w:val="24"/>
          <w:szCs w:val="24"/>
        </w:rPr>
        <w:t xml:space="preserve"> przy dedykowanej armaturze </w:t>
      </w:r>
      <w:r>
        <w:rPr>
          <w:rFonts w:ascii="Times New Roman" w:hAnsi="Times New Roman" w:cs="Times New Roman"/>
          <w:sz w:val="24"/>
          <w:szCs w:val="24"/>
          <w:u w:val="single"/>
        </w:rPr>
        <w:t>z pełnym wyposażeniem</w:t>
      </w:r>
      <w:r>
        <w:rPr>
          <w:rFonts w:ascii="Times New Roman" w:hAnsi="Times New Roman" w:cs="Times New Roman"/>
          <w:sz w:val="24"/>
          <w:szCs w:val="24"/>
        </w:rPr>
        <w:t xml:space="preserve">, pojemnik na mydło, pojemnik na ręczniki, pochwyty naścienne do siadania na muszli, dwa pochwyty przy umywalce, syfon zabudowany”. W związku z tym prosimy o jednoznaczne wskazanie zakresu wyposażenia WC (tj. określenie ilości sztuk poszczególnych elementów), które należy ująć </w:t>
      </w:r>
      <w:r>
        <w:rPr>
          <w:rFonts w:ascii="Times New Roman" w:hAnsi="Times New Roman" w:cs="Times New Roman"/>
          <w:sz w:val="24"/>
          <w:szCs w:val="24"/>
        </w:rPr>
        <w:br/>
        <w:t>w opracowywanych ofertach – zarówno dla pomieszczeń dedykowanych dla niepełno-, jak i „pełno”-sprawnych.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34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 zaprojektowano 2 ubikacje dla osób niepełnosprawnych (0.8 i 0.10),  należy przewidzieć dla każdej: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miska ustępowa wisząca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uchwyt stały pionowy odsadzony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uchwyt prosty poziomy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uchwyt uchylny mocowany do posadzki z miejscem na papier toaletowy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umywalka ceramiczna dla os. </w:t>
      </w:r>
      <w:proofErr w:type="spellStart"/>
      <w:r>
        <w:rPr>
          <w:rFonts w:ascii="Times New Roman" w:hAnsi="Times New Roman" w:cs="Times New Roman"/>
          <w:sz w:val="24"/>
          <w:szCs w:val="24"/>
        </w:rPr>
        <w:t>niepenosprawnych</w:t>
      </w:r>
      <w:proofErr w:type="spellEnd"/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uchwyty naścienne uchylne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lustro o regulowanym nachyleniu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dla wszystkich ubikacji łącznie:</w:t>
      </w:r>
    </w:p>
    <w:p w:rsidR="00322664" w:rsidRDefault="00322664" w:rsidP="0032266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poj. na mydło, 10 poj. na ręczniki, 16 luster zwykłych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 podwójnych + 2 pojedyncze), 4 wieszaki na ręczniki i odzież przy natryskach (2 podwójne + 2 pojedyncze), 10 poj. na papier toaletowy</w:t>
      </w: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35</w:t>
      </w: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przeprowadzonej wizji lokalnej przyszłego terenu budowy stwierdzono, że </w:t>
      </w:r>
      <w:r>
        <w:rPr>
          <w:rFonts w:ascii="Times New Roman" w:hAnsi="Times New Roman" w:cs="Times New Roman"/>
          <w:sz w:val="24"/>
          <w:szCs w:val="24"/>
        </w:rPr>
        <w:br/>
        <w:t>w planie projektowanej hali sportowej znajdują się dwa boiska o nawierzchni asfaltowej, tj. boisko do koszykówki i boisko do siatkówki. Szacunkowa, łączna powierzchnia nawierzchni asfaltowej to ok. 380m2. Jeżeli rozbiórka obu tych boisk (wraz z kosztami utylizacji odpadów) ma zostać ujęta w opracowywanych ofertach to bardzo proszę</w:t>
      </w:r>
      <w:r>
        <w:rPr>
          <w:rFonts w:ascii="Times New Roman" w:hAnsi="Times New Roman" w:cs="Times New Roman"/>
          <w:sz w:val="24"/>
          <w:szCs w:val="24"/>
        </w:rPr>
        <w:br/>
        <w:t>o podanie:</w:t>
      </w:r>
    </w:p>
    <w:p w:rsidR="00322664" w:rsidRDefault="00322664" w:rsidP="003226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dokładnej powierzchni obu boisk</w:t>
      </w:r>
    </w:p>
    <w:p w:rsidR="00322664" w:rsidRDefault="00322664" w:rsidP="003226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rodzajów i grubości warstw nawierzchni dla obu boisk</w:t>
      </w:r>
    </w:p>
    <w:p w:rsidR="00322664" w:rsidRDefault="00322664" w:rsidP="003226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informacji n/t ewentualnych, istniejących – koniecznych do wyburzenia - fundamentów pod słupkami do koszykówki i do siatkówki</w:t>
      </w:r>
    </w:p>
    <w:p w:rsidR="00322664" w:rsidRDefault="00322664" w:rsidP="00322664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35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Powierzchnia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boisk to ok 380m2, nawierzchnia asfaltowa - warstwy : - asfalt - warstwa ścieralna 5 cm; asfalt - warstwa wiążąca - 3 cm;  podbudowa z kruszywa łamanego - 15 cm; pospółka zagęszczona mechanicznie - 25 cm.</w:t>
      </w:r>
    </w:p>
    <w:p w:rsidR="00322664" w:rsidRDefault="00322664" w:rsidP="00322664">
      <w:pPr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Fundamenty do wyburzenia -  ok. 1,20 m3.</w:t>
      </w: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>
        <w:rPr>
          <w:b/>
          <w:color w:val="auto"/>
          <w:u w:val="single"/>
        </w:rPr>
        <w:t>36</w:t>
      </w: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przeprowadzonej wizji lokalnej przyszłego terenu budowy stwierdzono, że </w:t>
      </w:r>
      <w:r>
        <w:rPr>
          <w:rFonts w:ascii="Times New Roman" w:hAnsi="Times New Roman" w:cs="Times New Roman"/>
          <w:sz w:val="24"/>
          <w:szCs w:val="24"/>
        </w:rPr>
        <w:br/>
        <w:t>w planie projektowanej hali sportowej znajduje się (widoczna także na rys. nr 1 „Plan sytuacyjny”) nasyp, którego stoki są zabezpieczone okładziną (kamienną lub betonową). W związku z tym, proszę o wskazanie:</w:t>
      </w:r>
    </w:p>
    <w:p w:rsidR="00322664" w:rsidRDefault="00322664" w:rsidP="0032266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objętości nasypu, którą należy przewidzieć do likwidacji w trakcie prowadzenia robót</w:t>
      </w:r>
    </w:p>
    <w:p w:rsidR="00322664" w:rsidRDefault="00322664" w:rsidP="0032266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 oraz grubości okładzin stoków nasypu, które należy przewidzieć do rozbiórki i utylizacji</w:t>
      </w: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36</w:t>
      </w: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nasypu – do przemieszczenia – ok. 440,0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64" w:rsidRDefault="00322664" w:rsidP="00322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B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46FB4"/>
    <w:multiLevelType w:val="hybridMultilevel"/>
    <w:tmpl w:val="347E0E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A82C8D"/>
    <w:multiLevelType w:val="hybridMultilevel"/>
    <w:tmpl w:val="B00EA9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117B9C"/>
    <w:multiLevelType w:val="hybridMultilevel"/>
    <w:tmpl w:val="AEAA24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671C20"/>
    <w:multiLevelType w:val="hybridMultilevel"/>
    <w:tmpl w:val="28466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A1"/>
    <w:rsid w:val="000744A1"/>
    <w:rsid w:val="00322664"/>
    <w:rsid w:val="00D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421C-BC93-412E-A605-0C97530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26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2664"/>
    <w:pPr>
      <w:ind w:left="720"/>
      <w:contextualSpacing/>
    </w:pPr>
  </w:style>
  <w:style w:type="paragraph" w:customStyle="1" w:styleId="Default">
    <w:name w:val="Default"/>
    <w:rsid w:val="00322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2</cp:revision>
  <dcterms:created xsi:type="dcterms:W3CDTF">2016-07-21T10:05:00Z</dcterms:created>
  <dcterms:modified xsi:type="dcterms:W3CDTF">2016-07-21T10:07:00Z</dcterms:modified>
</cp:coreProperties>
</file>