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040C88">
        <w:rPr>
          <w:rFonts w:ascii="Cambria" w:hAnsi="Cambria"/>
        </w:rPr>
        <w:t>d</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CA2C7D">
        <w:rPr>
          <w:rFonts w:ascii="Cambria" w:hAnsi="Cambria"/>
        </w:rPr>
        <w:t>„</w:t>
      </w:r>
      <w:r w:rsidR="00CA2C7D" w:rsidRPr="00CA2C7D">
        <w:rPr>
          <w:rFonts w:ascii="Cambria" w:hAnsi="Cambria"/>
        </w:rPr>
        <w:t>Realizacj</w:t>
      </w:r>
      <w:r w:rsidR="00CA2C7D">
        <w:rPr>
          <w:rFonts w:ascii="Cambria" w:hAnsi="Cambria"/>
        </w:rPr>
        <w:t>a</w:t>
      </w:r>
      <w:r w:rsidR="00CA2C7D" w:rsidRPr="00CA2C7D">
        <w:rPr>
          <w:rFonts w:ascii="Cambria" w:hAnsi="Cambria"/>
        </w:rPr>
        <w:t xml:space="preserve"> inwestycji drogowych w ramach Funduszu Dróg Samorządowych na terenie Gminy Piekoszów</w:t>
      </w:r>
      <w:r w:rsidR="00CA2C7D">
        <w:rPr>
          <w:rFonts w:ascii="Cambria" w:hAnsi="Cambria"/>
        </w:rPr>
        <w:t>”</w:t>
      </w:r>
      <w:r w:rsidR="00CA2C7D" w:rsidRPr="00CA2C7D">
        <w:rPr>
          <w:rFonts w:ascii="Cambria" w:hAnsi="Cambria"/>
        </w:rPr>
        <w:t xml:space="preserve">, nr ref. </w:t>
      </w:r>
      <w:hyperlink r:id="rId7" w:history="1">
        <w:r w:rsidR="00CA2C7D" w:rsidRPr="00CA2C7D">
          <w:rPr>
            <w:rStyle w:val="Hipercze"/>
            <w:rFonts w:ascii="Cambria" w:hAnsi="Cambria"/>
            <w:color w:val="auto"/>
            <w:u w:val="none"/>
          </w:rPr>
          <w:t>IRO.271.2.22.2019.PK</w:t>
        </w:r>
      </w:hyperlink>
      <w:r w:rsidR="00CA2C7D">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AA3918" w:rsidRPr="003070FA" w:rsidRDefault="00DC14FC" w:rsidP="003070FA">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CA2C7D">
        <w:rPr>
          <w:rFonts w:ascii="Cambria" w:hAnsi="Cambria"/>
        </w:rPr>
        <w:t>„</w:t>
      </w:r>
      <w:r w:rsidR="00CA2C7D" w:rsidRPr="00CA2C7D">
        <w:rPr>
          <w:rFonts w:ascii="Cambria" w:hAnsi="Cambria"/>
        </w:rPr>
        <w:t>Realizacj</w:t>
      </w:r>
      <w:r w:rsidR="00CA2C7D">
        <w:rPr>
          <w:rFonts w:ascii="Cambria" w:hAnsi="Cambria"/>
        </w:rPr>
        <w:t>a</w:t>
      </w:r>
      <w:r w:rsidR="00CA2C7D" w:rsidRPr="00CA2C7D">
        <w:rPr>
          <w:rFonts w:ascii="Cambria" w:hAnsi="Cambria"/>
        </w:rPr>
        <w:t xml:space="preserve"> inwestycji drogowych w ramach Funduszu </w:t>
      </w:r>
      <w:r w:rsidR="00CA2C7D" w:rsidRPr="005B5B4E">
        <w:rPr>
          <w:rFonts w:ascii="Cambria" w:hAnsi="Cambria"/>
        </w:rPr>
        <w:t xml:space="preserve">Dróg Samorządowych na terenie Gminy Piekoszów”, </w:t>
      </w:r>
      <w:r w:rsidRPr="005B5B4E">
        <w:rPr>
          <w:rFonts w:ascii="Cambria" w:hAnsi="Cambria"/>
        </w:rPr>
        <w:t xml:space="preserve">nr ref. </w:t>
      </w:r>
      <w:hyperlink r:id="rId8" w:history="1">
        <w:r w:rsidR="00CA2C7D" w:rsidRPr="005B5B4E">
          <w:rPr>
            <w:rStyle w:val="Hipercze"/>
            <w:rFonts w:ascii="Cambria" w:hAnsi="Cambria"/>
            <w:color w:val="auto"/>
            <w:u w:val="none"/>
          </w:rPr>
          <w:t>IRO.271.2.22.2019.PK</w:t>
        </w:r>
      </w:hyperlink>
      <w:r w:rsidRPr="005B5B4E">
        <w:rPr>
          <w:rFonts w:ascii="Cambria" w:hAnsi="Cambria"/>
        </w:rPr>
        <w:t xml:space="preserve">, </w:t>
      </w:r>
      <w:r w:rsidR="00542942" w:rsidRPr="005B5B4E">
        <w:rPr>
          <w:rFonts w:ascii="Cambria" w:hAnsi="Cambria"/>
        </w:rPr>
        <w:t xml:space="preserve">Zamawiający zleca a Wykonawca przyjmuje do wykonania </w:t>
      </w:r>
      <w:r w:rsidRPr="005B5B4E">
        <w:rPr>
          <w:rFonts w:ascii="Cambria" w:hAnsi="Cambria"/>
        </w:rPr>
        <w:t xml:space="preserve">część zamówienia nr </w:t>
      </w:r>
      <w:r w:rsidR="003070FA" w:rsidRPr="005B5B4E">
        <w:rPr>
          <w:rFonts w:ascii="Cambria" w:hAnsi="Cambria"/>
        </w:rPr>
        <w:t>4</w:t>
      </w:r>
      <w:r w:rsidRPr="005B5B4E">
        <w:rPr>
          <w:rFonts w:ascii="Cambria" w:hAnsi="Cambria"/>
        </w:rPr>
        <w:t xml:space="preserve"> </w:t>
      </w:r>
      <w:r w:rsidR="00AA3918" w:rsidRPr="005B5B4E">
        <w:rPr>
          <w:rFonts w:ascii="Cambria" w:hAnsi="Cambria"/>
        </w:rPr>
        <w:t>–</w:t>
      </w:r>
      <w:r w:rsidR="003070FA" w:rsidRPr="005B5B4E">
        <w:rPr>
          <w:rFonts w:ascii="Cambria" w:hAnsi="Cambria"/>
        </w:rPr>
        <w:t xml:space="preserve"> </w:t>
      </w:r>
      <w:r w:rsidR="003070FA" w:rsidRPr="005B5B4E">
        <w:rPr>
          <w:rFonts w:ascii="Cambria" w:hAnsi="Cambria" w:cs="Times New Roman"/>
          <w:lang w:eastAsia="pl-PL"/>
        </w:rPr>
        <w:t>Rozbudowa drogi gminnej w m. Łaziska na odcinku od skrzyżowania z DP 0283T tj. od km lokalnego 0+000 do km 0+980, powiat kielecki,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816D41" w:rsidRDefault="008A4526" w:rsidP="00C466FA">
      <w:pPr>
        <w:pStyle w:val="Akapitzlist"/>
        <w:numPr>
          <w:ilvl w:val="0"/>
          <w:numId w:val="6"/>
        </w:numPr>
        <w:spacing w:after="0" w:line="360" w:lineRule="auto"/>
        <w:ind w:left="284" w:hanging="284"/>
        <w:jc w:val="both"/>
        <w:rPr>
          <w:rFonts w:ascii="Cambria" w:hAnsi="Cambria"/>
        </w:rPr>
      </w:pPr>
      <w:r w:rsidRPr="00816D41">
        <w:rPr>
          <w:rFonts w:ascii="Cambria" w:hAnsi="Cambria"/>
        </w:rPr>
        <w:t xml:space="preserve">Przekazanie placu budowy nastąpi w ciągu </w:t>
      </w:r>
      <w:bookmarkStart w:id="0" w:name="_GoBack"/>
      <w:bookmarkEnd w:id="0"/>
      <w:r w:rsidR="00816D41">
        <w:rPr>
          <w:rFonts w:ascii="Cambria" w:hAnsi="Cambria"/>
        </w:rPr>
        <w:t>3</w:t>
      </w:r>
      <w:r w:rsidR="00816D41" w:rsidRPr="002D5D7F">
        <w:rPr>
          <w:rFonts w:ascii="Cambria" w:hAnsi="Cambria"/>
        </w:rPr>
        <w:t xml:space="preserve"> dni od </w:t>
      </w:r>
      <w:r w:rsidR="00816D41">
        <w:rPr>
          <w:rFonts w:ascii="Cambria" w:hAnsi="Cambria"/>
        </w:rPr>
        <w:t xml:space="preserve">dnia uzyskania pozwolenia na budowę. </w:t>
      </w:r>
      <w:r w:rsidRPr="00816D41">
        <w:rPr>
          <w:rFonts w:ascii="Cambria" w:hAnsi="Cambria"/>
        </w:rPr>
        <w:t xml:space="preserve">Termin wykonania przedmiotu umowy ustala się do dnia </w:t>
      </w:r>
      <w:r w:rsidR="00BA2631" w:rsidRPr="00816D41">
        <w:rPr>
          <w:rFonts w:ascii="Cambria" w:hAnsi="Cambria"/>
        </w:rPr>
        <w:t>3</w:t>
      </w:r>
      <w:r w:rsidR="00AA3918" w:rsidRPr="00816D41">
        <w:rPr>
          <w:rFonts w:ascii="Cambria" w:hAnsi="Cambria"/>
        </w:rPr>
        <w:t>0</w:t>
      </w:r>
      <w:r w:rsidR="000834AC" w:rsidRPr="00816D41">
        <w:rPr>
          <w:rFonts w:ascii="Cambria" w:hAnsi="Cambria"/>
        </w:rPr>
        <w:t xml:space="preserve"> </w:t>
      </w:r>
      <w:r w:rsidR="00706181" w:rsidRPr="00816D41">
        <w:rPr>
          <w:rFonts w:ascii="Cambria" w:hAnsi="Cambria"/>
        </w:rPr>
        <w:t>października</w:t>
      </w:r>
      <w:r w:rsidR="00CB08ED" w:rsidRPr="00816D41">
        <w:rPr>
          <w:rFonts w:ascii="Cambria" w:hAnsi="Cambria"/>
        </w:rPr>
        <w:t xml:space="preserve"> 20</w:t>
      </w:r>
      <w:r w:rsidR="00DC14FC" w:rsidRPr="00816D41">
        <w:rPr>
          <w:rFonts w:ascii="Cambria" w:hAnsi="Cambria"/>
        </w:rPr>
        <w:t>2</w:t>
      </w:r>
      <w:r w:rsidR="009623A0" w:rsidRPr="00816D41">
        <w:rPr>
          <w:rFonts w:ascii="Cambria" w:hAnsi="Cambria"/>
        </w:rPr>
        <w:t>1</w:t>
      </w:r>
      <w:r w:rsidR="00CB08ED" w:rsidRPr="00816D41">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464A26">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CA2C7D" w:rsidRPr="00CA2C7D">
        <w:rPr>
          <w:rFonts w:ascii="Cambria" w:hAnsi="Cambria"/>
          <w:b/>
          <w:bCs/>
          <w:u w:val="single"/>
        </w:rPr>
        <w:t>muszą</w:t>
      </w:r>
      <w:r w:rsidR="00F27A20" w:rsidRPr="00CA2C7D">
        <w:rPr>
          <w:rFonts w:ascii="Cambria" w:hAnsi="Cambria"/>
          <w:b/>
          <w:bCs/>
          <w:u w:val="single"/>
        </w:rPr>
        <w:t xml:space="preserve"> </w:t>
      </w:r>
      <w:r w:rsidR="005F1798" w:rsidRPr="00CA2C7D">
        <w:rPr>
          <w:rFonts w:ascii="Cambria" w:hAnsi="Cambria"/>
          <w:b/>
          <w:bCs/>
          <w:u w:val="single"/>
        </w:rPr>
        <w:t>zostać</w:t>
      </w:r>
      <w:r w:rsidR="005F1798" w:rsidRPr="007968E9">
        <w:rPr>
          <w:rFonts w:ascii="Cambria" w:hAnsi="Cambria"/>
        </w:rPr>
        <w:t xml:space="preserve"> wystawion</w:t>
      </w:r>
      <w:r w:rsidR="00CA2C7D">
        <w:rPr>
          <w:rFonts w:ascii="Cambria" w:hAnsi="Cambria"/>
        </w:rPr>
        <w:t>e</w:t>
      </w:r>
      <w:r w:rsidR="005F1798" w:rsidRPr="007968E9">
        <w:rPr>
          <w:rFonts w:ascii="Cambria" w:hAnsi="Cambria"/>
        </w:rPr>
        <w:t xml:space="preserve"> </w:t>
      </w:r>
      <w:r w:rsidR="00B1515B" w:rsidRPr="007968E9">
        <w:rPr>
          <w:rFonts w:ascii="Cambria" w:hAnsi="Cambria"/>
        </w:rPr>
        <w:t xml:space="preserve">przez Wykonawcę </w:t>
      </w:r>
      <w:r w:rsidR="001449EE">
        <w:rPr>
          <w:rFonts w:ascii="Cambria" w:hAnsi="Cambria"/>
        </w:rPr>
        <w:t>dwukrotnie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CA2C7D">
        <w:rPr>
          <w:rFonts w:ascii="Cambria" w:hAnsi="Cambria"/>
        </w:rPr>
        <w:t xml:space="preserve"> i</w:t>
      </w:r>
      <w:r w:rsidR="00F27A20" w:rsidRPr="007968E9">
        <w:rPr>
          <w:rFonts w:ascii="Cambria" w:hAnsi="Cambria"/>
        </w:rPr>
        <w:t xml:space="preserve"> 2020 r., przy czym:</w:t>
      </w:r>
    </w:p>
    <w:p w:rsidR="007968E9"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392342" w:rsidRPr="003217B6">
        <w:rPr>
          <w:rFonts w:ascii="Cambria" w:hAnsi="Cambria"/>
          <w:b/>
          <w:bCs/>
          <w:u w:val="single"/>
        </w:rPr>
        <w:t>nie większą niż 5 000,00 zł</w:t>
      </w:r>
      <w:r w:rsidR="00522447">
        <w:rPr>
          <w:rFonts w:ascii="Cambria" w:hAnsi="Cambria"/>
        </w:rPr>
        <w:t>, z terminem płatności najpóźniej do końca 2019 r.</w:t>
      </w:r>
      <w:r w:rsidR="007968E9">
        <w:rPr>
          <w:rFonts w:ascii="Cambria" w:hAnsi="Cambria"/>
        </w:rPr>
        <w:t>;</w:t>
      </w:r>
    </w:p>
    <w:p w:rsidR="00F27A20" w:rsidRPr="003070FA"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w 2020 r. – na kwotę nie większą niż 1</w:t>
      </w:r>
      <w:r w:rsidR="003070FA">
        <w:rPr>
          <w:rFonts w:ascii="Cambria" w:hAnsi="Cambria"/>
        </w:rPr>
        <w:t>16</w:t>
      </w:r>
      <w:r w:rsidRPr="007968E9">
        <w:rPr>
          <w:rFonts w:ascii="Cambria" w:hAnsi="Cambria"/>
        </w:rPr>
        <w:t> </w:t>
      </w:r>
      <w:r w:rsidR="003070FA">
        <w:rPr>
          <w:rFonts w:ascii="Cambria" w:hAnsi="Cambria"/>
        </w:rPr>
        <w:t>11</w:t>
      </w:r>
      <w:r w:rsidRPr="007968E9">
        <w:rPr>
          <w:rFonts w:ascii="Cambria" w:hAnsi="Cambria"/>
        </w:rPr>
        <w:t>0,00 zł</w:t>
      </w:r>
      <w:r w:rsidR="00522447">
        <w:rPr>
          <w:rFonts w:ascii="Cambria" w:hAnsi="Cambria"/>
        </w:rPr>
        <w:t>, z terminem płatności najpóźniej do końca 2020 r.;</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FC06BB">
        <w:rPr>
          <w:rFonts w:ascii="Cambria" w:hAnsi="Cambria"/>
        </w:rPr>
        <w:t xml:space="preserve">y </w:t>
      </w:r>
      <w:r w:rsidR="00B65B64" w:rsidRPr="00B65B64">
        <w:rPr>
          <w:rFonts w:ascii="Cambria" w:hAnsi="Cambria"/>
        </w:rPr>
        <w:t xml:space="preserve">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840920">
        <w:rPr>
          <w:rFonts w:ascii="Cambria" w:hAnsi="Cambria"/>
        </w:rPr>
        <w:t>2</w:t>
      </w:r>
      <w:r w:rsidR="002266FA">
        <w:rPr>
          <w:rFonts w:ascii="Cambria" w:hAnsi="Cambria"/>
        </w:rPr>
        <w:t xml:space="preserve"> 0</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CA2C7D" w:rsidRDefault="00795327" w:rsidP="00CA2C7D">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Pr="00CA2C7D" w:rsidRDefault="00795327" w:rsidP="00CA2C7D">
      <w:pPr>
        <w:pStyle w:val="Akapitzlist"/>
        <w:numPr>
          <w:ilvl w:val="0"/>
          <w:numId w:val="27"/>
        </w:numPr>
        <w:spacing w:after="0" w:line="360" w:lineRule="auto"/>
        <w:ind w:left="567" w:hanging="283"/>
        <w:jc w:val="both"/>
        <w:rPr>
          <w:rFonts w:ascii="Cambria" w:hAnsi="Cambria"/>
        </w:rPr>
      </w:pPr>
      <w:r w:rsidRPr="00CA2C7D">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706181">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706181" w:rsidRPr="00706181" w:rsidRDefault="00706181" w:rsidP="00706181">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9703CC" w:rsidRDefault="00795327" w:rsidP="009703CC">
      <w:pPr>
        <w:spacing w:after="0" w:line="360" w:lineRule="auto"/>
        <w:jc w:val="center"/>
        <w:rPr>
          <w:rFonts w:ascii="Cambria" w:hAnsi="Cambria"/>
          <w:b/>
        </w:rPr>
      </w:pPr>
      <w:r>
        <w:rPr>
          <w:rFonts w:ascii="Cambria" w:hAnsi="Cambria"/>
          <w:b/>
        </w:rPr>
        <w:t>§ 1</w:t>
      </w:r>
      <w:r w:rsidR="009623A0">
        <w:rPr>
          <w:rFonts w:ascii="Cambria" w:hAnsi="Cambria"/>
          <w:b/>
        </w:rPr>
        <w:t>9</w:t>
      </w:r>
    </w:p>
    <w:p w:rsidR="009703CC" w:rsidRDefault="009703CC" w:rsidP="009703CC">
      <w:pPr>
        <w:spacing w:after="0" w:line="360" w:lineRule="auto"/>
        <w:jc w:val="center"/>
        <w:rPr>
          <w:rFonts w:ascii="Cambria" w:hAnsi="Cambria"/>
          <w:b/>
        </w:rPr>
      </w:pPr>
      <w:r>
        <w:rPr>
          <w:rFonts w:ascii="Cambria" w:hAnsi="Cambria"/>
          <w:b/>
        </w:rPr>
        <w:t>Zmiana umowy</w:t>
      </w:r>
    </w:p>
    <w:p w:rsidR="009703CC" w:rsidRPr="009D17D2" w:rsidRDefault="009703CC" w:rsidP="009703CC">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9703CC" w:rsidRPr="00DF2465" w:rsidRDefault="009703CC" w:rsidP="009703CC">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9703CC" w:rsidRPr="000962B7"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9703CC" w:rsidRPr="009615AB"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9703CC"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9703CC"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9703CC" w:rsidRPr="00BC5F1F"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9703CC" w:rsidRPr="00DF2465"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9703CC" w:rsidRPr="0001675D"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9703CC" w:rsidRPr="006F0DA9"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9703CC" w:rsidRPr="009615AB"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9703CC" w:rsidRPr="009615AB" w:rsidRDefault="009703CC" w:rsidP="009703CC">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9703CC" w:rsidRPr="00C57589"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9703CC"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9703CC"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9703CC" w:rsidRPr="00E543A1"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9703CC" w:rsidRPr="00BC5F1F"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9703CC" w:rsidRPr="005C03E8"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9703CC" w:rsidRPr="005C03E8"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9703CC" w:rsidRPr="005C03E8" w:rsidRDefault="009703CC" w:rsidP="009703CC">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9703CC" w:rsidRPr="00BC5F1F" w:rsidRDefault="009703CC" w:rsidP="009703CC">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9703CC" w:rsidRPr="00C57589" w:rsidRDefault="009703CC" w:rsidP="009703CC">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9703CC" w:rsidRPr="00C57589" w:rsidRDefault="009703CC" w:rsidP="009703CC">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9703CC" w:rsidRDefault="009703CC" w:rsidP="009703CC">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9703CC" w:rsidRPr="00C57589"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9703CC"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9703CC"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9703CC"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9703CC" w:rsidRPr="00C57589"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9703CC"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9703CC" w:rsidRPr="00530C44"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9703CC" w:rsidRDefault="009703CC" w:rsidP="009703CC">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9703CC" w:rsidRDefault="009703CC" w:rsidP="009703CC">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9703CC" w:rsidRPr="00D12833" w:rsidRDefault="009703CC" w:rsidP="009703CC">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w:t>
      </w:r>
      <w:r w:rsidRPr="00CA2C7D">
        <w:rPr>
          <w:rFonts w:ascii="Cambria" w:hAnsi="Cambria"/>
        </w:rPr>
        <w:t>go</w:t>
      </w:r>
      <w:r w:rsidRPr="00CA2C7D">
        <w:rPr>
          <w:rFonts w:ascii="Cambria" w:hAnsi="Cambria"/>
          <w:b/>
        </w:rPr>
        <w:t xml:space="preserve"> </w:t>
      </w:r>
      <w:r w:rsidRPr="00CA2C7D">
        <w:rPr>
          <w:rFonts w:ascii="Cambria" w:hAnsi="Cambria"/>
        </w:rPr>
        <w:t xml:space="preserve">pn. </w:t>
      </w:r>
      <w:bookmarkEnd w:id="8"/>
      <w:r w:rsidR="00CA2C7D" w:rsidRPr="00CA2C7D">
        <w:rPr>
          <w:rFonts w:ascii="Cambria" w:hAnsi="Cambria"/>
        </w:rPr>
        <w:t xml:space="preserve">„Realizacja inwestycji drogowych w ramach Funduszu Dróg Samorządowych na terenie Gminy Piekoszów”, nr ref. </w:t>
      </w:r>
      <w:hyperlink r:id="rId10" w:history="1">
        <w:r w:rsidR="00CA2C7D" w:rsidRPr="00CA2C7D">
          <w:rPr>
            <w:rStyle w:val="Hipercze"/>
            <w:rFonts w:ascii="Cambria" w:hAnsi="Cambria"/>
            <w:color w:val="auto"/>
            <w:u w:val="none"/>
          </w:rPr>
          <w:t>IRO.271.2.22.2019.PK</w:t>
        </w:r>
      </w:hyperlink>
      <w:r w:rsidR="00CA2C7D" w:rsidRPr="00CA2C7D">
        <w:rPr>
          <w:rFonts w:ascii="Cambria" w:hAnsi="Cambria"/>
        </w:rPr>
        <w:t>;</w:t>
      </w:r>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08" w:rsidRDefault="00450308" w:rsidP="008A4526">
      <w:pPr>
        <w:spacing w:after="0" w:line="240" w:lineRule="auto"/>
      </w:pPr>
      <w:r>
        <w:separator/>
      </w:r>
    </w:p>
  </w:endnote>
  <w:endnote w:type="continuationSeparator" w:id="0">
    <w:p w:rsidR="00450308" w:rsidRDefault="00450308"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08" w:rsidRDefault="00450308" w:rsidP="008A4526">
      <w:pPr>
        <w:spacing w:after="0" w:line="240" w:lineRule="auto"/>
      </w:pPr>
      <w:r>
        <w:separator/>
      </w:r>
    </w:p>
  </w:footnote>
  <w:footnote w:type="continuationSeparator" w:id="0">
    <w:p w:rsidR="00450308" w:rsidRDefault="00450308"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
  </w:num>
  <w:num w:numId="44">
    <w:abstractNumId w:val="45"/>
  </w:num>
  <w:num w:numId="45">
    <w:abstractNumId w:val="14"/>
  </w:num>
  <w:num w:numId="46">
    <w:abstractNumId w:val="18"/>
  </w:num>
  <w:num w:numId="47">
    <w:abstractNumId w:val="17"/>
  </w:num>
  <w:num w:numId="48">
    <w:abstractNumId w:val="20"/>
  </w:num>
  <w:num w:numId="49">
    <w:abstractNumId w:val="38"/>
  </w:num>
  <w:num w:numId="50">
    <w:abstractNumId w:val="42"/>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0C88"/>
    <w:rsid w:val="000761A0"/>
    <w:rsid w:val="000834AC"/>
    <w:rsid w:val="000D6F02"/>
    <w:rsid w:val="000F35F4"/>
    <w:rsid w:val="00113A1A"/>
    <w:rsid w:val="00136811"/>
    <w:rsid w:val="001449EE"/>
    <w:rsid w:val="00144A16"/>
    <w:rsid w:val="001C21BE"/>
    <w:rsid w:val="002266FA"/>
    <w:rsid w:val="002642CF"/>
    <w:rsid w:val="002910FE"/>
    <w:rsid w:val="002B457D"/>
    <w:rsid w:val="002F52DC"/>
    <w:rsid w:val="003070FA"/>
    <w:rsid w:val="00321A4D"/>
    <w:rsid w:val="00346581"/>
    <w:rsid w:val="00365609"/>
    <w:rsid w:val="00392342"/>
    <w:rsid w:val="003939DF"/>
    <w:rsid w:val="003B3703"/>
    <w:rsid w:val="003F3CE8"/>
    <w:rsid w:val="00427E50"/>
    <w:rsid w:val="00450308"/>
    <w:rsid w:val="00464A26"/>
    <w:rsid w:val="005137EC"/>
    <w:rsid w:val="00522447"/>
    <w:rsid w:val="00524412"/>
    <w:rsid w:val="00530C44"/>
    <w:rsid w:val="00542942"/>
    <w:rsid w:val="00590300"/>
    <w:rsid w:val="005A6A73"/>
    <w:rsid w:val="005B5B4E"/>
    <w:rsid w:val="005D1C2B"/>
    <w:rsid w:val="005F1798"/>
    <w:rsid w:val="00662F2F"/>
    <w:rsid w:val="00695AC3"/>
    <w:rsid w:val="006D312D"/>
    <w:rsid w:val="00706181"/>
    <w:rsid w:val="007119A6"/>
    <w:rsid w:val="00795327"/>
    <w:rsid w:val="007968E9"/>
    <w:rsid w:val="00816D41"/>
    <w:rsid w:val="00840920"/>
    <w:rsid w:val="00841CB3"/>
    <w:rsid w:val="008A4526"/>
    <w:rsid w:val="008B6C5D"/>
    <w:rsid w:val="009623A0"/>
    <w:rsid w:val="009703CC"/>
    <w:rsid w:val="009867E9"/>
    <w:rsid w:val="00A10916"/>
    <w:rsid w:val="00A42528"/>
    <w:rsid w:val="00A43166"/>
    <w:rsid w:val="00A86E85"/>
    <w:rsid w:val="00AA3918"/>
    <w:rsid w:val="00AD3AA8"/>
    <w:rsid w:val="00AE43AF"/>
    <w:rsid w:val="00B1515B"/>
    <w:rsid w:val="00B165A7"/>
    <w:rsid w:val="00B65B64"/>
    <w:rsid w:val="00B67306"/>
    <w:rsid w:val="00B71A5B"/>
    <w:rsid w:val="00BA2631"/>
    <w:rsid w:val="00BB6094"/>
    <w:rsid w:val="00C57589"/>
    <w:rsid w:val="00CA2C7D"/>
    <w:rsid w:val="00CB08ED"/>
    <w:rsid w:val="00D12833"/>
    <w:rsid w:val="00DB3868"/>
    <w:rsid w:val="00DC14FC"/>
    <w:rsid w:val="00E31C9E"/>
    <w:rsid w:val="00F01F40"/>
    <w:rsid w:val="00F2189B"/>
    <w:rsid w:val="00F27A20"/>
    <w:rsid w:val="00FC06BB"/>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6734"/>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8020</Words>
  <Characters>48122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16</cp:revision>
  <dcterms:created xsi:type="dcterms:W3CDTF">2019-10-08T06:16:00Z</dcterms:created>
  <dcterms:modified xsi:type="dcterms:W3CDTF">2019-11-15T08:39:00Z</dcterms:modified>
</cp:coreProperties>
</file>