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pStyle w:val="Standardowytekst"/>
        <w:rPr>
          <w:b/>
          <w:sz w:val="28"/>
        </w:rPr>
      </w:pPr>
      <w:r>
        <w:rPr>
          <w:sz w:val="28"/>
        </w:rPr>
        <w:t xml:space="preserve">             SZCZEGÓŁOWE  SPECYFIKACJE TECHNICZNE</w:t>
      </w: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D-08.05.01</w:t>
      </w: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ŚCIEKI   Z   PREFABRYKOWANYCH</w:t>
      </w:r>
    </w:p>
    <w:p w:rsidR="00FE37CB" w:rsidRDefault="00FE37C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ELEMENTÓW  BETONOWYCH</w:t>
      </w: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"1-1" </w:instrText>
      </w:r>
      <w:r>
        <w:rPr>
          <w:b w:val="0"/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</w:p>
    <w:p w:rsidR="00FE37CB" w:rsidRDefault="00FE37CB">
      <w:pPr>
        <w:rPr>
          <w:sz w:val="19"/>
        </w:rPr>
      </w:pPr>
      <w:r>
        <w:rPr>
          <w:b/>
          <w:sz w:val="24"/>
        </w:rPr>
        <w:fldChar w:fldCharType="end"/>
      </w: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  <w:sectPr w:rsidR="00FE37CB">
          <w:headerReference w:type="default" r:id="rId7"/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FE37CB" w:rsidRDefault="00FE37CB"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</w:p>
    <w:p w:rsidR="00FE37CB" w:rsidRDefault="00FE37CB">
      <w:pPr>
        <w:pStyle w:val="Nagwek1"/>
      </w:pPr>
      <w:bookmarkStart w:id="8" w:name="_Toc428080458"/>
      <w:r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E37CB" w:rsidRDefault="00FE37CB">
      <w:pPr>
        <w:pStyle w:val="Nagwek2"/>
      </w:pPr>
      <w:bookmarkStart w:id="9" w:name="_Toc405615031"/>
      <w:bookmarkStart w:id="10" w:name="_Toc407161179"/>
      <w:r>
        <w:t>1.1. Przedmiot SST</w:t>
      </w:r>
      <w:bookmarkEnd w:id="9"/>
      <w:bookmarkEnd w:id="10"/>
    </w:p>
    <w:p w:rsidR="00FE37CB" w:rsidRDefault="00FE37CB">
      <w:pPr>
        <w:pStyle w:val="Standardowytekst"/>
      </w:pPr>
      <w:r>
        <w:tab/>
        <w:t>Przedmiotem niniejszej szczegółowej specyfikacji technicznej (SST) są wymagania dotyczące wykonania i odbioru robót związanych z wykonaniem ścieków z prefabrykowanych elementów betonowych.</w:t>
      </w:r>
    </w:p>
    <w:p w:rsidR="00FE37CB" w:rsidRDefault="00FE37CB">
      <w:pPr>
        <w:pStyle w:val="Nagwek2"/>
      </w:pPr>
      <w:bookmarkStart w:id="11" w:name="_Toc405615032"/>
      <w:bookmarkStart w:id="12" w:name="_Toc407161180"/>
      <w:r>
        <w:t>1.2. Zakres stosowania SST</w:t>
      </w:r>
      <w:bookmarkEnd w:id="11"/>
      <w:bookmarkEnd w:id="12"/>
    </w:p>
    <w:p w:rsidR="00FE37CB" w:rsidRDefault="00FE37CB">
      <w:pPr>
        <w:pStyle w:val="Standardowytekst"/>
      </w:pPr>
      <w:r>
        <w:tab/>
        <w:t xml:space="preserve">Szczegółowa specyfikacja techniczna (SST) stanowi obowiązując dokument przetargowy i kontraktowy przy zlecaniu i realizacji robót na drogach – przebudowa </w:t>
      </w:r>
      <w:r w:rsidR="00FA3CB9">
        <w:t>ulicy</w:t>
      </w:r>
      <w:r w:rsidR="003A7A25">
        <w:t xml:space="preserve"> </w:t>
      </w:r>
      <w:r w:rsidR="00D86A80">
        <w:t>ROLNEJ</w:t>
      </w:r>
      <w:r w:rsidR="00EF2AA1">
        <w:t xml:space="preserve"> w Czempiniu.</w:t>
      </w:r>
    </w:p>
    <w:p w:rsidR="00FE37CB" w:rsidRDefault="00FE37CB">
      <w:pPr>
        <w:pStyle w:val="Standardowytekst"/>
      </w:pPr>
      <w:r>
        <w:tab/>
      </w:r>
    </w:p>
    <w:p w:rsidR="00FE37CB" w:rsidRDefault="00FE37CB">
      <w:pPr>
        <w:pStyle w:val="Nagwek2"/>
      </w:pPr>
      <w:bookmarkStart w:id="13" w:name="_Toc405615033"/>
      <w:bookmarkStart w:id="14" w:name="_Toc407161181"/>
      <w:r>
        <w:t>1.3. Zakres robót objętych SST</w:t>
      </w:r>
      <w:bookmarkEnd w:id="13"/>
      <w:bookmarkEnd w:id="14"/>
    </w:p>
    <w:p w:rsidR="00FE37CB" w:rsidRDefault="00FE37CB">
      <w:pPr>
        <w:pStyle w:val="tekstost"/>
        <w:ind w:firstLine="709"/>
      </w:pPr>
      <w:r>
        <w:t>Ustalenia zawarte w niniejszej specyfikacji dotyczą zasad prowadzenia robót związanych z wykonaniem:</w:t>
      </w:r>
    </w:p>
    <w:p w:rsidR="00FE37CB" w:rsidRDefault="00FE37CB" w:rsidP="00FA3CB9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przykrawężnikowych</w:t>
      </w:r>
      <w:proofErr w:type="spellEnd"/>
      <w:r>
        <w:t>,</w:t>
      </w:r>
    </w:p>
    <w:p w:rsidR="00FE37CB" w:rsidRDefault="00FE37CB" w:rsidP="00FA3CB9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międzyjezdniowych</w:t>
      </w:r>
      <w:proofErr w:type="spellEnd"/>
      <w:r>
        <w:t>,</w:t>
      </w:r>
    </w:p>
    <w:p w:rsidR="00FE37CB" w:rsidRDefault="00FE37CB" w:rsidP="00FA3CB9">
      <w:pPr>
        <w:pStyle w:val="tekstost"/>
        <w:numPr>
          <w:ilvl w:val="0"/>
          <w:numId w:val="1"/>
        </w:numPr>
        <w:rPr>
          <w:b/>
        </w:rPr>
      </w:pPr>
      <w:r>
        <w:t>ścieków terenowych.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1.4. Określenia podstawowe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 xml:space="preserve">Ściek </w:t>
      </w:r>
      <w:proofErr w:type="spellStart"/>
      <w:r>
        <w:t>przykrawężnikowy</w:t>
      </w:r>
      <w:proofErr w:type="spellEnd"/>
      <w:r>
        <w:t xml:space="preserve"> - element konstrukcji jezdni służący do odprowadzenia wód opadowych z nawierzchni jezdni i chodników do projektowanych odbiorników (np. kanalizacji deszczowej).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1.4.2.</w:t>
      </w:r>
      <w:r>
        <w:rPr>
          <w:b/>
        </w:rPr>
        <w:tab/>
      </w:r>
      <w:r>
        <w:t xml:space="preserve">Ściek </w:t>
      </w:r>
      <w:proofErr w:type="spellStart"/>
      <w:r>
        <w:t>międzyjezdniowy</w:t>
      </w:r>
      <w:proofErr w:type="spellEnd"/>
      <w:r>
        <w:t xml:space="preserve"> - element konstrukcji jezdni służący do odprowadzenia wód opadowych z nawierzchni, na których zastosowano przeciwne spadki poprzeczne, np. w rejonie zatok, placów itp.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Ściek terenowy - element zlokalizowany poza jezdnią lub chodnikiem służący do odprowadzenia wód opadowych z nawierzchni jezdni, chodników oraz przyległego terenu do odbiorników sztucznych lub naturalnych.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1.4.4.</w:t>
      </w:r>
      <w:r>
        <w:tab/>
        <w:t>Pozostałe określenia podstawowe są zgodne z obowiązują</w:t>
      </w:r>
      <w:r>
        <w:softHyphen/>
        <w:t xml:space="preserve">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FE37CB" w:rsidRDefault="009020ED" w:rsidP="009020ED">
      <w:pPr>
        <w:numPr>
          <w:ilvl w:val="12"/>
          <w:numId w:val="0"/>
        </w:numPr>
      </w:pPr>
      <w:r>
        <w:t xml:space="preserve">         </w:t>
      </w:r>
      <w:r w:rsidR="00FE37CB">
        <w:t xml:space="preserve">Ogólne wymagania dotyczące robót podano w SST D-M-00.00.00 „Wymagania ogólne” </w:t>
      </w:r>
      <w:proofErr w:type="spellStart"/>
      <w:r w:rsidR="00FE37CB">
        <w:t>pkt</w:t>
      </w:r>
      <w:proofErr w:type="spellEnd"/>
      <w:r w:rsidR="00FE37CB">
        <w:t xml:space="preserve"> 1.5.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5" w:name="_Toc424024071"/>
      <w:bookmarkStart w:id="16" w:name="_Toc428080459"/>
      <w:r>
        <w:t>2. MATERIAŁY</w:t>
      </w:r>
      <w:bookmarkEnd w:id="15"/>
      <w:bookmarkEnd w:id="16"/>
    </w:p>
    <w:p w:rsidR="00FE37CB" w:rsidRDefault="00FE37CB" w:rsidP="00FA3CB9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FE37CB" w:rsidRDefault="00FE37CB" w:rsidP="00FA3CB9">
      <w:pPr>
        <w:numPr>
          <w:ilvl w:val="12"/>
          <w:numId w:val="0"/>
        </w:numPr>
        <w:spacing w:before="120"/>
        <w:ind w:firstLine="709"/>
      </w:pP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2.2. Krawężniki</w:t>
      </w:r>
    </w:p>
    <w:p w:rsidR="00FE37CB" w:rsidRDefault="00FE37CB" w:rsidP="00FA3CB9">
      <w:pPr>
        <w:numPr>
          <w:ilvl w:val="12"/>
          <w:numId w:val="0"/>
        </w:numPr>
      </w:pPr>
      <w:r>
        <w:tab/>
        <w:t>Krawężniki powinny odpowiadać wymaganiom BN-80/6775-03/01 [9] i BN-80/6775-03/04 [10].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2.3. Beton na ławę</w:t>
      </w:r>
    </w:p>
    <w:p w:rsidR="00FE37CB" w:rsidRDefault="00FE37CB" w:rsidP="00FA3CB9">
      <w:pPr>
        <w:numPr>
          <w:ilvl w:val="12"/>
          <w:numId w:val="0"/>
        </w:numPr>
      </w:pPr>
      <w:r>
        <w:tab/>
        <w:t>Beton na ławę pod krawężnik i ściek powinien odpowiadać wymaganiom PN-B-06250 [2]. Jeżeli dokumentacja projektowa nie stanowi inaczej, powinien to być beton klasy B-15 lub B-10.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2.4. Kruszywo do betonu</w:t>
      </w:r>
    </w:p>
    <w:p w:rsidR="00FE37CB" w:rsidRDefault="00FE37CB" w:rsidP="00FA3CB9">
      <w:pPr>
        <w:numPr>
          <w:ilvl w:val="12"/>
          <w:numId w:val="0"/>
        </w:numPr>
      </w:pPr>
      <w:r>
        <w:tab/>
        <w:t>Kruszywo do betonu powinno odpowiadać wymaganiom PN-B-06712 [4].</w:t>
      </w:r>
    </w:p>
    <w:p w:rsidR="00FE37CB" w:rsidRDefault="00FE37CB" w:rsidP="00FA3CB9">
      <w:pPr>
        <w:numPr>
          <w:ilvl w:val="12"/>
          <w:numId w:val="0"/>
        </w:numPr>
      </w:pPr>
      <w:r>
        <w:tab/>
        <w:t>Kruszywo należy przechowywać w warunkach zabezpieczających je przed zanieczyszczeniem, zmieszaniem z kruszywami innych asortymentów, gatunków i marek.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lastRenderedPageBreak/>
        <w:t>2.5. Cement</w:t>
      </w:r>
    </w:p>
    <w:p w:rsidR="00FE37CB" w:rsidRDefault="00FE37CB" w:rsidP="00FA3CB9">
      <w:pPr>
        <w:numPr>
          <w:ilvl w:val="12"/>
          <w:numId w:val="0"/>
        </w:numPr>
      </w:pPr>
      <w:r>
        <w:tab/>
        <w:t>Cement do betonu powinien być cementem portlandzkim, odpowiadającym wymaganiom PN-B-19701 [5].</w:t>
      </w:r>
    </w:p>
    <w:p w:rsidR="00FE37CB" w:rsidRDefault="00FE37CB" w:rsidP="00FA3CB9">
      <w:pPr>
        <w:numPr>
          <w:ilvl w:val="12"/>
          <w:numId w:val="0"/>
        </w:numPr>
      </w:pPr>
      <w:r>
        <w:tab/>
        <w:t>Cement do zaprawy cementowej i na podsypkę cementowo-piaskową powinien być klasy 32,5.</w:t>
      </w:r>
    </w:p>
    <w:p w:rsidR="00FE37CB" w:rsidRDefault="00FE37CB" w:rsidP="00FA3CB9">
      <w:pPr>
        <w:numPr>
          <w:ilvl w:val="12"/>
          <w:numId w:val="0"/>
        </w:numPr>
      </w:pPr>
      <w:r>
        <w:tab/>
        <w:t>Przechowywanie cementu powinno być zgodne z BN-88/6731-08 [7].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2.6. Woda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Woda powinna być „odmiany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i odpowiadać wymaganiom PN-B-32250 [6].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2.7. Piasek</w:t>
      </w:r>
    </w:p>
    <w:p w:rsidR="00FE37CB" w:rsidRDefault="00FE37CB" w:rsidP="00FA3CB9">
      <w:pPr>
        <w:numPr>
          <w:ilvl w:val="12"/>
          <w:numId w:val="0"/>
        </w:numPr>
      </w:pPr>
      <w:r>
        <w:tab/>
        <w:t>Piasek na podsypkę cementowo-piaskową powinien odpowiadać wymaganiom PN-B-06712 [4].</w:t>
      </w:r>
    </w:p>
    <w:p w:rsidR="00FE37CB" w:rsidRDefault="00FE37CB" w:rsidP="00FA3CB9">
      <w:pPr>
        <w:numPr>
          <w:ilvl w:val="12"/>
          <w:numId w:val="0"/>
        </w:numPr>
      </w:pPr>
      <w:r>
        <w:tab/>
        <w:t>Piasek do zaprawy cementowo-piaskowej powinien odpowiadać wymaganiom PN-B-06711 [3].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2.8. Prefabrykowane elementy betonowe ścieku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Prefabrykowane elementy betonowe stosowane do wykonania ścieków </w:t>
      </w:r>
      <w:proofErr w:type="spellStart"/>
      <w:r>
        <w:t>przykrawężnikowych</w:t>
      </w:r>
      <w:proofErr w:type="spellEnd"/>
      <w:r>
        <w:t xml:space="preserve">, </w:t>
      </w:r>
      <w:proofErr w:type="spellStart"/>
      <w:r>
        <w:t>międzyjezdniowych</w:t>
      </w:r>
      <w:proofErr w:type="spellEnd"/>
      <w:r>
        <w:t xml:space="preserve"> lub terenowych, powinny odpowiadać wymaganiom BN-80/6775-03/01 [9].</w:t>
      </w:r>
    </w:p>
    <w:p w:rsidR="00FE37CB" w:rsidRDefault="00FE37CB" w:rsidP="00FA3CB9">
      <w:pPr>
        <w:numPr>
          <w:ilvl w:val="12"/>
          <w:numId w:val="0"/>
        </w:numPr>
      </w:pPr>
      <w:r>
        <w:tab/>
        <w:t>Kształt i wymiary prefabrykowanych elementów betonowych, użytych do wykonania ścieków, powinny być zgodne z dokumentacją projektową. Mogą to być np. prefabrykaty betonowe o wymiarach i kształtach wg „Katalogu szczegółów drogowych ulic, placów i parków miejskich - Karty 2.5, 2.9, 2.13 [12].</w:t>
      </w:r>
    </w:p>
    <w:p w:rsidR="00FE37CB" w:rsidRDefault="00FE37CB" w:rsidP="00FA3CB9">
      <w:pPr>
        <w:numPr>
          <w:ilvl w:val="12"/>
          <w:numId w:val="0"/>
        </w:numPr>
      </w:pPr>
      <w:r>
        <w:tab/>
        <w:t>Do wykonania prefabrykatów należy stosować beton wg PN-B-06250 [2], klasy co najmniej 25.</w:t>
      </w:r>
    </w:p>
    <w:p w:rsidR="00FE37CB" w:rsidRDefault="00FE37CB" w:rsidP="00FA3CB9">
      <w:pPr>
        <w:numPr>
          <w:ilvl w:val="12"/>
          <w:numId w:val="0"/>
        </w:numPr>
      </w:pPr>
      <w:r>
        <w:tab/>
        <w:t>Nasiąkliwość prefabrykatów nie powinna przekraczać 4%.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Ścieralność na tarczy </w:t>
      </w:r>
      <w:proofErr w:type="spellStart"/>
      <w:r>
        <w:t>Boehmego</w:t>
      </w:r>
      <w:proofErr w:type="spellEnd"/>
      <w:r>
        <w:t xml:space="preserve"> nie powinna przekraczać </w:t>
      </w:r>
      <w:smartTag w:uri="urn:schemas-microsoft-com:office:smarttags" w:element="metricconverter">
        <w:smartTagPr>
          <w:attr w:name="ProductID" w:val="3,5 mm"/>
        </w:smartTagPr>
        <w:r>
          <w:t xml:space="preserve">3,5 </w:t>
        </w:r>
        <w:proofErr w:type="spellStart"/>
        <w:r>
          <w:t>mm</w:t>
        </w:r>
      </w:smartTag>
      <w:proofErr w:type="spellEnd"/>
      <w:r>
        <w:t>.</w:t>
      </w:r>
    </w:p>
    <w:p w:rsidR="00FE37CB" w:rsidRDefault="00FE37CB" w:rsidP="00FA3CB9">
      <w:pPr>
        <w:numPr>
          <w:ilvl w:val="12"/>
          <w:numId w:val="0"/>
        </w:numPr>
      </w:pPr>
      <w:r>
        <w:tab/>
        <w:t>Wytrzymałość betonu na ściskanie powinna być zgodna z PN-B-06250 [2] dla przyjętej klasy betonu.</w:t>
      </w:r>
    </w:p>
    <w:p w:rsidR="00FE37CB" w:rsidRDefault="00FE37CB" w:rsidP="00FA3CB9">
      <w:pPr>
        <w:numPr>
          <w:ilvl w:val="12"/>
          <w:numId w:val="0"/>
        </w:numPr>
      </w:pPr>
      <w:r>
        <w:tab/>
        <w:t>Powierzchnia prefabrykatów powinna być bez rys, pęknięć i ubytków betonu,              o fakturze zatartej.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Krawędzie elementów powinny być równe i proste. Wklęsłość lub wypukłość powierzchni elementów nie powinna przekraczać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FE37CB" w:rsidRDefault="00FE37CB" w:rsidP="00FA3CB9">
      <w:pPr>
        <w:numPr>
          <w:ilvl w:val="12"/>
          <w:numId w:val="0"/>
        </w:numPr>
      </w:pPr>
      <w:r>
        <w:tab/>
        <w:t>Dopuszczalne odchyłki wymiarów prefabrykatów:</w:t>
      </w:r>
    </w:p>
    <w:p w:rsidR="00FE37CB" w:rsidRDefault="00FE37CB" w:rsidP="00FA3CB9">
      <w:pPr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>,</w:t>
      </w:r>
    </w:p>
    <w:p w:rsidR="00FE37CB" w:rsidRDefault="00FE37CB" w:rsidP="00FA3CB9">
      <w:pPr>
        <w:numPr>
          <w:ilvl w:val="0"/>
          <w:numId w:val="1"/>
        </w:numPr>
      </w:pPr>
      <w:r>
        <w:t>na wysokości i szerokości</w:t>
      </w:r>
      <w:r>
        <w:tab/>
      </w:r>
      <w:r>
        <w:sym w:font="Symbol" w:char="F0B1"/>
      </w:r>
      <w:r>
        <w:t xml:space="preserve">  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FE37CB" w:rsidRDefault="00FE37CB" w:rsidP="00FA3CB9">
      <w:pPr>
        <w:numPr>
          <w:ilvl w:val="12"/>
          <w:numId w:val="0"/>
        </w:numPr>
      </w:pPr>
      <w:r>
        <w:tab/>
        <w:t>Prefabrykaty betonowe powinny być składowane w pozycji wbudowania, na podłożu utwardzonym i dobrze odwodnionym.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2.9. Masa zalewowa</w:t>
      </w:r>
    </w:p>
    <w:p w:rsidR="00FE37CB" w:rsidRDefault="00FE37CB" w:rsidP="00FA3CB9">
      <w:pPr>
        <w:numPr>
          <w:ilvl w:val="12"/>
          <w:numId w:val="0"/>
        </w:numPr>
      </w:pPr>
      <w:r>
        <w:tab/>
        <w:t>Masa zalewowa do wypełnienia spoin powinna być stosowana na gorąco i odpowiadać wymaganiom BN-74/6771-04 [8].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7" w:name="_Toc428080460"/>
      <w:r>
        <w:t>3. sprzęt</w:t>
      </w:r>
      <w:bookmarkEnd w:id="17"/>
    </w:p>
    <w:p w:rsidR="00FE37CB" w:rsidRDefault="00FE37CB" w:rsidP="00FA3CB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3.2. Sprzęt do wykonania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>Roboty można wykonywać ręcznie przy pomocy drobnego sprzętu, z zastosowaniem:</w:t>
      </w:r>
    </w:p>
    <w:p w:rsidR="00FE37CB" w:rsidRDefault="00FE37CB" w:rsidP="00FA3CB9">
      <w:pPr>
        <w:numPr>
          <w:ilvl w:val="0"/>
          <w:numId w:val="1"/>
        </w:numPr>
      </w:pPr>
      <w:r>
        <w:t>betoniarek do wytwarzania betonu i zapraw oraz przygotowania podsypki cementowo-piaskowej,</w:t>
      </w:r>
    </w:p>
    <w:p w:rsidR="00FE37CB" w:rsidRDefault="00FE37CB" w:rsidP="00FA3CB9">
      <w:pPr>
        <w:numPr>
          <w:ilvl w:val="0"/>
          <w:numId w:val="1"/>
        </w:numPr>
      </w:pPr>
      <w:r>
        <w:t>wibratorów płytowych, ubijaków ręcznych lub mechanicznych.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8" w:name="_Toc428080461"/>
      <w:r>
        <w:t>4. transport</w:t>
      </w:r>
      <w:bookmarkEnd w:id="18"/>
    </w:p>
    <w:p w:rsidR="00FE37CB" w:rsidRDefault="00FE37CB" w:rsidP="00FA3CB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lastRenderedPageBreak/>
        <w:t>4.2. Transport materiałów</w:t>
      </w:r>
    </w:p>
    <w:p w:rsidR="00FE37CB" w:rsidRDefault="00FE37CB" w:rsidP="00FA3CB9">
      <w:pPr>
        <w:numPr>
          <w:ilvl w:val="12"/>
          <w:numId w:val="0"/>
        </w:numPr>
      </w:pPr>
      <w:r>
        <w:tab/>
        <w:t>Transport prefabrykatów powinien odbywać się wg BN-80/6775-03/01 [9], transport cementu wg BN-88/6731-08 [7].</w:t>
      </w:r>
    </w:p>
    <w:p w:rsidR="00FE37CB" w:rsidRDefault="00FE37CB" w:rsidP="00FA3CB9">
      <w:pPr>
        <w:numPr>
          <w:ilvl w:val="12"/>
          <w:numId w:val="0"/>
        </w:numPr>
      </w:pPr>
      <w:r>
        <w:tab/>
        <w:t>Kruszywo można przewozić dowolnymi środkami transportu w sposób zabezpieczający je przed zanieczyszczeniem i zmieszaniem z innymi asortymentami.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9" w:name="_Toc428080462"/>
      <w:r>
        <w:t>5. wykonanie robót</w:t>
      </w:r>
      <w:bookmarkEnd w:id="19"/>
    </w:p>
    <w:p w:rsidR="00FE37CB" w:rsidRDefault="00FE37CB" w:rsidP="00FA3CB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zasady wykonania robót podano w OST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5.2. Roboty przygotowawcze</w:t>
      </w:r>
    </w:p>
    <w:p w:rsidR="00FE37CB" w:rsidRDefault="00FE37CB" w:rsidP="00FA3CB9">
      <w:pPr>
        <w:numPr>
          <w:ilvl w:val="12"/>
          <w:numId w:val="0"/>
        </w:numPr>
      </w:pPr>
      <w:r>
        <w:tab/>
        <w:t>Przed przystąpieniem do wykonania ścieku należy wytyczyć linię krawężnika i oś ścieku zgodnie z dokumentacją projektową. Dla ścieku umieszczonego między jezdniami oś ścieku stanowi oś wykopu pod ławę.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5.3. Wykop pod ławę</w:t>
      </w:r>
    </w:p>
    <w:p w:rsidR="00FE37CB" w:rsidRDefault="00FE37CB" w:rsidP="00FA3CB9">
      <w:pPr>
        <w:numPr>
          <w:ilvl w:val="12"/>
          <w:numId w:val="0"/>
        </w:numPr>
      </w:pPr>
      <w:r>
        <w:tab/>
        <w:t>Wykop pod wspólną ławę dla ścieku i krawężnika należy wykonać zgodnie z dokumentacją i PN-B-06050 [1]. Jeżeli dokumentacja projektowa nie stanowi inaczej, to najczęściej stosowaną ławą pod ściek i krawężnik jest ława z oporem. Dla ścieku umieszczonego między jezdniami oraz ścieku terenowego stosowana jest ława zwykła.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Wymiary wykopu powinny odpowiadać wymiarom ławy w planie z uwzględnieniem w szerokości dna wykopu konstrukcji szalunku dla ławy z oporem. Wskaźnik zagęszczenia dna wykopu pod ławę powinien wynosić co najmniej 0,97, wg normalnej metody </w:t>
      </w:r>
      <w:proofErr w:type="spellStart"/>
      <w:r>
        <w:t>Proctora</w:t>
      </w:r>
      <w:proofErr w:type="spellEnd"/>
      <w:r>
        <w:t>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5.4. Wykonanie ław</w:t>
      </w:r>
    </w:p>
    <w:p w:rsidR="00FE37CB" w:rsidRDefault="00FE37CB" w:rsidP="00FA3CB9">
      <w:pPr>
        <w:numPr>
          <w:ilvl w:val="12"/>
          <w:numId w:val="0"/>
        </w:numPr>
      </w:pPr>
      <w:r>
        <w:tab/>
        <w:t>Wykonanie ław powinno być zgodne z wymaganiami BN-64/8845-02 [11].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rPr>
          <w:b/>
        </w:rPr>
        <w:t xml:space="preserve">5.4.1. </w:t>
      </w:r>
      <w:r>
        <w:t>Ława betonowa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tab/>
        <w:t>Klasa betonu stosowanego do wykonania ław powinna być zgodna z dokumentacją projektową.</w:t>
      </w:r>
    </w:p>
    <w:p w:rsidR="00FE37CB" w:rsidRDefault="00FE37CB" w:rsidP="00FA3CB9">
      <w:pPr>
        <w:numPr>
          <w:ilvl w:val="12"/>
          <w:numId w:val="0"/>
        </w:numPr>
      </w:pPr>
      <w:r>
        <w:tab/>
        <w:t>Jeżeli dokumentacja projektowa nie stanowi inaczej, można stosować ławy z betonu klasy B-15 i klasy B-10.</w:t>
      </w:r>
    </w:p>
    <w:p w:rsidR="00FE37CB" w:rsidRDefault="00FE37CB" w:rsidP="00FA3CB9">
      <w:pPr>
        <w:numPr>
          <w:ilvl w:val="12"/>
          <w:numId w:val="0"/>
        </w:numPr>
      </w:pPr>
      <w:r>
        <w:tab/>
        <w:t>Wykonanie ławy betonowej podano w SST D-08.01.01 „Krawężniki betonowe”.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rPr>
          <w:b/>
        </w:rPr>
        <w:t xml:space="preserve">5.4.2. </w:t>
      </w:r>
      <w:r>
        <w:t>Ława żwirowa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tab/>
        <w:t xml:space="preserve">Wykonanie ławy żwirowej podano </w:t>
      </w:r>
      <w:proofErr w:type="spellStart"/>
      <w:r>
        <w:t>wSOST</w:t>
      </w:r>
      <w:proofErr w:type="spellEnd"/>
      <w:r>
        <w:t xml:space="preserve"> D-08.01.01 „Krawężniki betonowe”.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5.5. Ustawienie krawężników</w:t>
      </w:r>
    </w:p>
    <w:p w:rsidR="00FE37CB" w:rsidRDefault="00FE37CB" w:rsidP="00FA3CB9">
      <w:pPr>
        <w:numPr>
          <w:ilvl w:val="12"/>
          <w:numId w:val="0"/>
        </w:numPr>
      </w:pPr>
      <w:r>
        <w:tab/>
        <w:t>Ustawienie krawężników na ławie powinno być wykonywane zgodnie z dokumentacją projektową oraz z postanowieniami według SST D-08.01.01 „Krawężniki betonowe”.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5.6. Wykonanie ścieku z prefabrykatów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Ustawienie prefabrykatów na ławie powinno być wykonane na podsypce cementowo-piaskowej o grubości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, lub innego wymiaru wskazanego w dokumentacji projektowej. Ustawianie prefabrykatów powinno być zgodne z projektowaną niweletą dna ścieku.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Spoiny elementów prefabrykowanych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 xml:space="preserve">. Spoiny prefabrykatów układanych na ławie żwirowej należy wypełnić żwirem lub piaskiem. Spoiny prefabrykatów układanych na ławie betonowej należy wypełnić zaprawą cementowo-piaskową, przygotowaną w stosunku 1:2. Spoiny przed zalaniem należy oczyścić i zmyć wodą. Prefabrykaty ustawione na podsypce cementowo-piaskowej i o spoinach zalanych zaprawą, powinny mieć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spoiny wypełnione bitumiczną masą zalewową nad szczeliną dylatacyjną ławy betonowej.</w:t>
      </w:r>
    </w:p>
    <w:p w:rsidR="00FE37CB" w:rsidRDefault="00FE37CB" w:rsidP="00FA3CB9">
      <w:pPr>
        <w:numPr>
          <w:ilvl w:val="12"/>
          <w:numId w:val="0"/>
        </w:numPr>
      </w:pPr>
      <w:r>
        <w:tab/>
        <w:t>Jeżeli do wykonania ścieków terenowych zastosowano prefabrykaty typu „korytkowego” wg KPED - karta 01.03 [13], to połączenie prefabrykatu z jezdnią należy wypełnić bitumiczną masą zalewową. Od dolnej strony prefabrykatu, wykop należy wypełnić piaskiem lub żwirem i starannie zagęścić.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20" w:name="_Toc428080463"/>
      <w:r>
        <w:lastRenderedPageBreak/>
        <w:t>6. kontrola jakości robót</w:t>
      </w:r>
      <w:bookmarkEnd w:id="20"/>
    </w:p>
    <w:p w:rsidR="00FE37CB" w:rsidRDefault="00FE37CB" w:rsidP="00FA3CB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>Przed przystąpieniem do robót Wykonawca powinien wykonać badania materiałów przeznaczonych do wykonania ścieku i przedstawić wyniki tych badań Inżynierowi do akceptacji.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Badania materiałów stosowanych do wykonania ścieku z prefabrykatów powinny obejmować wszystkie właściwości, które zostały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6.3. Badania w czasie robót</w:t>
      </w:r>
    </w:p>
    <w:p w:rsidR="00FE37CB" w:rsidRDefault="00FE37CB" w:rsidP="00FA3CB9">
      <w:pPr>
        <w:numPr>
          <w:ilvl w:val="12"/>
          <w:numId w:val="0"/>
        </w:numPr>
      </w:pPr>
      <w:r>
        <w:rPr>
          <w:b/>
        </w:rPr>
        <w:t xml:space="preserve">6.3.1. </w:t>
      </w:r>
      <w:r>
        <w:t>Zakres badań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tab/>
        <w:t>W czasie robót związanych z wykonaniem ścieku z prefabrykatów należy sprawdzać:</w:t>
      </w:r>
    </w:p>
    <w:p w:rsidR="00FE37CB" w:rsidRDefault="00FE37CB" w:rsidP="00FA3CB9">
      <w:pPr>
        <w:numPr>
          <w:ilvl w:val="0"/>
          <w:numId w:val="1"/>
        </w:numPr>
      </w:pPr>
      <w:r>
        <w:t>wykop pod ławę,</w:t>
      </w:r>
    </w:p>
    <w:p w:rsidR="00FE37CB" w:rsidRDefault="00FE37CB" w:rsidP="00FA3CB9">
      <w:pPr>
        <w:numPr>
          <w:ilvl w:val="0"/>
          <w:numId w:val="1"/>
        </w:numPr>
      </w:pPr>
      <w:r>
        <w:t>gotową ławę,</w:t>
      </w:r>
    </w:p>
    <w:p w:rsidR="00FE37CB" w:rsidRDefault="00FE37CB" w:rsidP="00FA3CB9">
      <w:pPr>
        <w:numPr>
          <w:ilvl w:val="0"/>
          <w:numId w:val="1"/>
        </w:numPr>
      </w:pPr>
      <w:r>
        <w:t>ustawienie krawężnika,</w:t>
      </w:r>
    </w:p>
    <w:p w:rsidR="00FE37CB" w:rsidRDefault="00FE37CB" w:rsidP="00FA3CB9">
      <w:pPr>
        <w:numPr>
          <w:ilvl w:val="0"/>
          <w:numId w:val="1"/>
        </w:numPr>
      </w:pPr>
      <w:r>
        <w:t>wykonanie ścieku.</w:t>
      </w:r>
    </w:p>
    <w:p w:rsidR="00FE37CB" w:rsidRDefault="00FE37CB">
      <w:pPr>
        <w:spacing w:before="120"/>
      </w:pPr>
      <w:r>
        <w:rPr>
          <w:b/>
        </w:rPr>
        <w:t xml:space="preserve">6.3.2. </w:t>
      </w:r>
      <w:r>
        <w:t>Wykop pod ławę</w:t>
      </w:r>
    </w:p>
    <w:p w:rsidR="00FE37CB" w:rsidRDefault="00FE37CB">
      <w:pPr>
        <w:spacing w:before="120"/>
      </w:pPr>
      <w:r>
        <w:tab/>
        <w:t>Należy sprawdzać, czy wymiary wykopu są zgodne z dokumentacją projektową oraz zagęszczenie podłoża na dnie wykopu.</w:t>
      </w:r>
    </w:p>
    <w:p w:rsidR="00FE37CB" w:rsidRDefault="00FE37CB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5.3.</w:t>
      </w:r>
    </w:p>
    <w:p w:rsidR="00FE37CB" w:rsidRDefault="00FE37CB">
      <w:pPr>
        <w:spacing w:before="120"/>
      </w:pPr>
      <w:r>
        <w:rPr>
          <w:b/>
        </w:rPr>
        <w:t xml:space="preserve">6.3.3. </w:t>
      </w:r>
      <w:r>
        <w:t>Sprawdzenie wykonania ławy</w:t>
      </w:r>
    </w:p>
    <w:p w:rsidR="00FE37CB" w:rsidRDefault="00FE37CB">
      <w:pPr>
        <w:spacing w:before="120"/>
      </w:pPr>
      <w:r>
        <w:tab/>
        <w:t>Przy wykonywaniu ławy, badaniu podlegają:</w:t>
      </w:r>
    </w:p>
    <w:p w:rsidR="00FE37CB" w:rsidRDefault="00FE37CB" w:rsidP="00FA3CB9">
      <w:pPr>
        <w:numPr>
          <w:ilvl w:val="0"/>
          <w:numId w:val="2"/>
        </w:numPr>
      </w:pPr>
      <w:r>
        <w:t xml:space="preserve">linia ławy w planie, która może się różnić od projektowanego kierunku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FE37CB" w:rsidRDefault="00FE37CB" w:rsidP="00FA3CB9">
      <w:pPr>
        <w:numPr>
          <w:ilvl w:val="0"/>
          <w:numId w:val="2"/>
        </w:numPr>
      </w:pPr>
      <w:r>
        <w:t xml:space="preserve">niweleta górnej powierzchni ławy,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FE37CB" w:rsidRDefault="00FE37CB" w:rsidP="00FA3CB9">
      <w:pPr>
        <w:numPr>
          <w:ilvl w:val="0"/>
          <w:numId w:val="2"/>
        </w:numPr>
      </w:pPr>
      <w:r>
        <w:t xml:space="preserve">wymiary i równość ławy, sprawdzane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przy czym dopuszczalne tolerancje wynoszą dla:</w:t>
      </w:r>
    </w:p>
    <w:p w:rsidR="00FE37CB" w:rsidRDefault="00FE37CB" w:rsidP="00FA3CB9">
      <w:pPr>
        <w:numPr>
          <w:ilvl w:val="0"/>
          <w:numId w:val="1"/>
        </w:numPr>
      </w:pPr>
      <w:r>
        <w:t xml:space="preserve">wysokości (grubości) ławy </w:t>
      </w:r>
      <w:r>
        <w:sym w:font="Symbol" w:char="F0B1"/>
      </w:r>
      <w:r>
        <w:t xml:space="preserve"> 10% wysokości projektowanej,</w:t>
      </w:r>
    </w:p>
    <w:p w:rsidR="00FE37CB" w:rsidRDefault="00FE37CB" w:rsidP="00FA3CB9">
      <w:pPr>
        <w:numPr>
          <w:ilvl w:val="0"/>
          <w:numId w:val="1"/>
        </w:numPr>
      </w:pPr>
      <w:r>
        <w:t xml:space="preserve">szerokości górnej powierzchni ławy </w:t>
      </w:r>
      <w:r>
        <w:sym w:font="Symbol" w:char="F0B1"/>
      </w:r>
      <w:r>
        <w:t xml:space="preserve"> 10% szerokości projektowanej,</w:t>
      </w:r>
    </w:p>
    <w:p w:rsidR="00FE37CB" w:rsidRDefault="00FE37CB" w:rsidP="00FA3CB9">
      <w:pPr>
        <w:numPr>
          <w:ilvl w:val="0"/>
          <w:numId w:val="1"/>
        </w:numPr>
      </w:pPr>
      <w:r>
        <w:t xml:space="preserve">równości górnej powierzchni ławy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prześwitu pomiędzy powierzchnią ławy a przyłożoną czterometrową łatą.</w:t>
      </w:r>
    </w:p>
    <w:p w:rsidR="00FE37CB" w:rsidRDefault="00FE37CB">
      <w:pPr>
        <w:spacing w:before="120"/>
      </w:pPr>
      <w:r>
        <w:rPr>
          <w:b/>
        </w:rPr>
        <w:t xml:space="preserve">6.3.4. </w:t>
      </w:r>
      <w:r>
        <w:t>Sprawdzenie ustawienia krawężnika</w:t>
      </w:r>
    </w:p>
    <w:p w:rsidR="00FE37CB" w:rsidRDefault="00FE37CB">
      <w:pPr>
        <w:spacing w:before="120"/>
      </w:pPr>
      <w:r>
        <w:tab/>
        <w:t>Przy ustawianiu krawężnika, badaniu podlegają:</w:t>
      </w:r>
    </w:p>
    <w:p w:rsidR="00FE37CB" w:rsidRDefault="00FE37CB" w:rsidP="00FA3CB9">
      <w:pPr>
        <w:numPr>
          <w:ilvl w:val="0"/>
          <w:numId w:val="3"/>
        </w:numPr>
      </w:pPr>
      <w:r>
        <w:t xml:space="preserve">linia krawężnika w planie, która może się różnić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od linii projektowanej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FE37CB" w:rsidRDefault="00FE37CB" w:rsidP="00FA3CB9">
      <w:pPr>
        <w:numPr>
          <w:ilvl w:val="0"/>
          <w:numId w:val="3"/>
        </w:numPr>
      </w:pPr>
      <w:r>
        <w:t xml:space="preserve">niweleta krawężnika,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FE37CB" w:rsidRDefault="00FE37CB" w:rsidP="00FA3CB9">
      <w:pPr>
        <w:numPr>
          <w:ilvl w:val="0"/>
          <w:numId w:val="3"/>
        </w:numPr>
      </w:pPr>
      <w:r>
        <w:t xml:space="preserve">równość górnej powierzchni krawężnika,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pomiędzy powierzchnią krawężnika a przyłożoną czterometrową łatą,</w:t>
      </w:r>
    </w:p>
    <w:p w:rsidR="00FE37CB" w:rsidRDefault="00FE37CB" w:rsidP="00FA3CB9">
      <w:pPr>
        <w:numPr>
          <w:ilvl w:val="0"/>
          <w:numId w:val="3"/>
        </w:numPr>
      </w:pPr>
      <w:r>
        <w:t xml:space="preserve">wypełnienie spoin,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przy czym wymagane jest całkowite wypełnienie badanej spoiny,</w:t>
      </w:r>
    </w:p>
    <w:p w:rsidR="00FE37CB" w:rsidRDefault="00FE37CB" w:rsidP="00FA3CB9">
      <w:pPr>
        <w:numPr>
          <w:ilvl w:val="0"/>
          <w:numId w:val="3"/>
        </w:numPr>
      </w:pPr>
      <w:r>
        <w:t xml:space="preserve">szerokość spoin, sprawdzana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która nie może być większa od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FE37CB" w:rsidRDefault="00FE37CB">
      <w:pPr>
        <w:spacing w:before="120"/>
      </w:pPr>
      <w:r>
        <w:rPr>
          <w:b/>
        </w:rPr>
        <w:t xml:space="preserve">6.3.5. </w:t>
      </w:r>
      <w:r>
        <w:t>Sprawdzenie wykonania ścieku</w:t>
      </w:r>
    </w:p>
    <w:p w:rsidR="00FE37CB" w:rsidRDefault="00FE37CB">
      <w:pPr>
        <w:spacing w:before="120"/>
      </w:pPr>
      <w:r>
        <w:tab/>
        <w:t>Przy wykonaniu ścieku, badaniu podlegają:</w:t>
      </w:r>
    </w:p>
    <w:p w:rsidR="00FE37CB" w:rsidRDefault="00FE37CB" w:rsidP="00FA3CB9">
      <w:pPr>
        <w:numPr>
          <w:ilvl w:val="0"/>
          <w:numId w:val="4"/>
        </w:numPr>
      </w:pPr>
      <w:r>
        <w:t xml:space="preserve">niweleta ścieku, która może różnić się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   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wykonanego ścieku,</w:t>
      </w:r>
    </w:p>
    <w:p w:rsidR="00FE37CB" w:rsidRDefault="00FE37CB" w:rsidP="00FA3CB9">
      <w:pPr>
        <w:numPr>
          <w:ilvl w:val="0"/>
          <w:numId w:val="4"/>
        </w:numPr>
      </w:pPr>
      <w:r>
        <w:lastRenderedPageBreak/>
        <w:t xml:space="preserve">równość podłużna ścieku,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 xml:space="preserve"> pomiędzy powierzchnią ścieku a łatą czterometrową,</w:t>
      </w:r>
    </w:p>
    <w:p w:rsidR="00FE37CB" w:rsidRDefault="00FE37CB" w:rsidP="00FA3CB9">
      <w:pPr>
        <w:numPr>
          <w:ilvl w:val="0"/>
          <w:numId w:val="4"/>
        </w:numPr>
      </w:pPr>
      <w:r>
        <w:t xml:space="preserve">wypełnienie spoin, wykonane zgodnie z </w:t>
      </w:r>
      <w:proofErr w:type="spellStart"/>
      <w:r>
        <w:t>pkt</w:t>
      </w:r>
      <w:proofErr w:type="spellEnd"/>
      <w:r>
        <w:t xml:space="preserve"> 5,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wykonanego ścieku, przy czym wymagane jest całkowite wypełnienie badanej spoiny,</w:t>
      </w:r>
    </w:p>
    <w:p w:rsidR="00FE37CB" w:rsidRDefault="00FE37CB" w:rsidP="00FA3CB9">
      <w:pPr>
        <w:numPr>
          <w:ilvl w:val="0"/>
          <w:numId w:val="4"/>
        </w:numPr>
      </w:pPr>
      <w:r>
        <w:t xml:space="preserve">grubość podsypki, sprawdzana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, która może się różnić od grubości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FE37CB" w:rsidRDefault="00FE37CB">
      <w:pPr>
        <w:pStyle w:val="Nagwek1"/>
      </w:pPr>
      <w:bookmarkStart w:id="21" w:name="_Toc428080464"/>
      <w:r>
        <w:t>7. obmiar robót</w:t>
      </w:r>
      <w:bookmarkEnd w:id="21"/>
    </w:p>
    <w:p w:rsidR="00FE37CB" w:rsidRDefault="00FE37CB">
      <w:pPr>
        <w:pStyle w:val="Nagwek2"/>
      </w:pPr>
      <w:r>
        <w:t>7.1. Ogólne zasady obmiaru robót</w:t>
      </w:r>
    </w:p>
    <w:p w:rsidR="00FE37CB" w:rsidRDefault="00FE37CB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FE37CB" w:rsidRDefault="00FE37CB">
      <w:pPr>
        <w:pStyle w:val="Nagwek2"/>
      </w:pPr>
      <w:r>
        <w:t>7.2. Jednostka obmiarowa</w:t>
      </w:r>
    </w:p>
    <w:p w:rsidR="00FE37CB" w:rsidRDefault="00FE37CB">
      <w:r>
        <w:tab/>
        <w:t>Jednostką obmiarową jest m (metr) wykonanego ścieku z prefabrykowanych elementów betonowych.</w:t>
      </w:r>
    </w:p>
    <w:p w:rsidR="00FE37CB" w:rsidRDefault="00FE37CB">
      <w:pPr>
        <w:pStyle w:val="Nagwek1"/>
      </w:pPr>
      <w:bookmarkStart w:id="22" w:name="_Toc405181288"/>
      <w:bookmarkStart w:id="23" w:name="_Toc424024077"/>
      <w:bookmarkStart w:id="24" w:name="_Toc428080465"/>
      <w:r>
        <w:t>8. ODBIÓR ROBÓT</w:t>
      </w:r>
      <w:bookmarkEnd w:id="22"/>
      <w:bookmarkEnd w:id="23"/>
      <w:bookmarkEnd w:id="24"/>
    </w:p>
    <w:p w:rsidR="00FE37CB" w:rsidRDefault="00FE37CB">
      <w:pPr>
        <w:pStyle w:val="Nagwek2"/>
      </w:pPr>
      <w:r>
        <w:t>8.1. Ogólne zasady odbioru robót</w:t>
      </w:r>
    </w:p>
    <w:p w:rsidR="00FE37CB" w:rsidRDefault="00FE37C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FE37CB" w:rsidRDefault="00FE37C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FE37CB" w:rsidRDefault="00FE37CB">
      <w:pPr>
        <w:pStyle w:val="Nagwek2"/>
      </w:pPr>
      <w:r>
        <w:t>8.2. Odbiór robót zanikających i ulegających zakryciu</w:t>
      </w:r>
    </w:p>
    <w:p w:rsidR="00FE37CB" w:rsidRDefault="00FE37CB">
      <w:r>
        <w:tab/>
        <w:t>Odbiorowi robót zanikających i ulegających zakryciu podlegają:</w:t>
      </w:r>
    </w:p>
    <w:p w:rsidR="00FE37CB" w:rsidRDefault="00FE37CB" w:rsidP="00FA3CB9">
      <w:pPr>
        <w:numPr>
          <w:ilvl w:val="0"/>
          <w:numId w:val="1"/>
        </w:numPr>
      </w:pPr>
      <w:r>
        <w:t>wykop pod ławę,</w:t>
      </w:r>
    </w:p>
    <w:p w:rsidR="00FE37CB" w:rsidRDefault="00FE37CB" w:rsidP="00FA3CB9">
      <w:pPr>
        <w:numPr>
          <w:ilvl w:val="0"/>
          <w:numId w:val="1"/>
        </w:numPr>
      </w:pPr>
      <w:r>
        <w:t>wykonana ława,</w:t>
      </w:r>
    </w:p>
    <w:p w:rsidR="00FE37CB" w:rsidRDefault="00FE37CB" w:rsidP="00FA3CB9">
      <w:pPr>
        <w:numPr>
          <w:ilvl w:val="0"/>
          <w:numId w:val="1"/>
        </w:numPr>
      </w:pPr>
      <w:r>
        <w:t>wykonana podsypka.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25" w:name="_Toc405181289"/>
      <w:bookmarkStart w:id="26" w:name="_Toc424024078"/>
      <w:bookmarkStart w:id="27" w:name="_Toc428080466"/>
      <w:r>
        <w:t>9. PODSTAWA PŁATNOŚCI</w:t>
      </w:r>
      <w:bookmarkEnd w:id="25"/>
      <w:bookmarkEnd w:id="26"/>
      <w:bookmarkEnd w:id="27"/>
    </w:p>
    <w:p w:rsidR="00FE37CB" w:rsidRDefault="00FE37CB" w:rsidP="00FA3CB9">
      <w:pPr>
        <w:pStyle w:val="Nagwek2"/>
        <w:numPr>
          <w:ilvl w:val="12"/>
          <w:numId w:val="0"/>
        </w:numPr>
      </w:pPr>
      <w:bookmarkStart w:id="28" w:name="_Toc405181290"/>
      <w:r>
        <w:t>9.1. Ogólne ustalenia dotyczące podstawy płatności</w:t>
      </w:r>
      <w:bookmarkEnd w:id="28"/>
    </w:p>
    <w:p w:rsidR="00FE37CB" w:rsidRDefault="00FE37CB" w:rsidP="00FA3CB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FE37CB" w:rsidRDefault="00FE37CB" w:rsidP="00FA3CB9">
      <w:pPr>
        <w:pStyle w:val="Nagwek2"/>
        <w:numPr>
          <w:ilvl w:val="12"/>
          <w:numId w:val="0"/>
        </w:numPr>
      </w:pPr>
      <w:bookmarkStart w:id="29" w:name="_Toc405181291"/>
      <w:r>
        <w:t>9.2. Cena jednostki obmiarowej</w:t>
      </w:r>
      <w:bookmarkEnd w:id="29"/>
    </w:p>
    <w:p w:rsidR="00FE37CB" w:rsidRDefault="00FE37CB" w:rsidP="00FA3CB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ścieku z prefabrykowanych elementów betonowych obejmuje:</w:t>
      </w:r>
    </w:p>
    <w:p w:rsidR="00FE37CB" w:rsidRDefault="00FE37CB" w:rsidP="00FA3CB9">
      <w:pPr>
        <w:numPr>
          <w:ilvl w:val="0"/>
          <w:numId w:val="1"/>
        </w:numPr>
      </w:pPr>
      <w:r>
        <w:t xml:space="preserve">prace pomiarowe i przygotowawcze, </w:t>
      </w:r>
    </w:p>
    <w:p w:rsidR="00FE37CB" w:rsidRDefault="00FE37CB" w:rsidP="00FA3CB9">
      <w:pPr>
        <w:numPr>
          <w:ilvl w:val="0"/>
          <w:numId w:val="1"/>
        </w:numPr>
      </w:pPr>
      <w:r>
        <w:t>dostarczenie materiałów,</w:t>
      </w:r>
    </w:p>
    <w:p w:rsidR="00FE37CB" w:rsidRDefault="00FE37CB" w:rsidP="00FA3CB9">
      <w:pPr>
        <w:numPr>
          <w:ilvl w:val="0"/>
          <w:numId w:val="1"/>
        </w:numPr>
      </w:pPr>
      <w:r>
        <w:t>wykonanie wykopu pod ławy,</w:t>
      </w:r>
    </w:p>
    <w:p w:rsidR="00FE37CB" w:rsidRDefault="00FE37CB" w:rsidP="00FA3CB9">
      <w:pPr>
        <w:numPr>
          <w:ilvl w:val="0"/>
          <w:numId w:val="1"/>
        </w:numPr>
      </w:pPr>
      <w:r>
        <w:t>wykonanie szalunku (dla ław betonowych z oporem),</w:t>
      </w:r>
    </w:p>
    <w:p w:rsidR="00FE37CB" w:rsidRDefault="00FE37CB" w:rsidP="00FA3CB9">
      <w:pPr>
        <w:numPr>
          <w:ilvl w:val="0"/>
          <w:numId w:val="1"/>
        </w:numPr>
      </w:pPr>
      <w:r>
        <w:t>wykonanie ławy (betonowej, żwirowej),</w:t>
      </w:r>
    </w:p>
    <w:p w:rsidR="00FE37CB" w:rsidRDefault="00FE37CB" w:rsidP="00FA3CB9">
      <w:pPr>
        <w:numPr>
          <w:ilvl w:val="0"/>
          <w:numId w:val="1"/>
        </w:numPr>
      </w:pPr>
      <w:r>
        <w:t>wykonanie podsypki cementowo-piaskowej,</w:t>
      </w:r>
    </w:p>
    <w:p w:rsidR="00FE37CB" w:rsidRDefault="00FE37CB" w:rsidP="00FA3CB9">
      <w:pPr>
        <w:numPr>
          <w:ilvl w:val="0"/>
          <w:numId w:val="1"/>
        </w:numPr>
      </w:pPr>
      <w:r>
        <w:t>ustawienie krawężników z wypełnieniem spoin,</w:t>
      </w:r>
    </w:p>
    <w:p w:rsidR="00FE37CB" w:rsidRDefault="00FE37CB" w:rsidP="00FA3CB9">
      <w:pPr>
        <w:numPr>
          <w:ilvl w:val="0"/>
          <w:numId w:val="1"/>
        </w:numPr>
      </w:pPr>
      <w:r>
        <w:t>ułożenie prefabrykatów ścieku z wypełnieniem spoin,</w:t>
      </w:r>
    </w:p>
    <w:p w:rsidR="00FE37CB" w:rsidRDefault="00FE37CB" w:rsidP="00FA3CB9">
      <w:pPr>
        <w:numPr>
          <w:ilvl w:val="0"/>
          <w:numId w:val="1"/>
        </w:numPr>
      </w:pPr>
      <w:r>
        <w:t>zalanie spoin bitumiczną masą zalewową,</w:t>
      </w:r>
    </w:p>
    <w:p w:rsidR="00FE37CB" w:rsidRDefault="00FE37CB" w:rsidP="00FA3CB9">
      <w:pPr>
        <w:numPr>
          <w:ilvl w:val="0"/>
          <w:numId w:val="1"/>
        </w:numPr>
      </w:pPr>
      <w:r>
        <w:t>zasypanie zewnętrznej ściany prefabrykatu lub krawężnika,</w:t>
      </w:r>
    </w:p>
    <w:p w:rsidR="00FE37CB" w:rsidRDefault="00FE37CB" w:rsidP="00FA3CB9">
      <w:pPr>
        <w:numPr>
          <w:ilvl w:val="0"/>
          <w:numId w:val="1"/>
        </w:numPr>
      </w:pPr>
      <w:r>
        <w:t>przeprowadzenie pomiarów i badań wymaganych w specyfikacji technicznej.</w:t>
      </w:r>
    </w:p>
    <w:p w:rsidR="00FE37CB" w:rsidRDefault="00FE37CB">
      <w:pPr>
        <w:pStyle w:val="Nagwek1"/>
      </w:pPr>
      <w:bookmarkStart w:id="30" w:name="_Toc428080467"/>
      <w:r>
        <w:t>10. przepisy związane</w:t>
      </w:r>
      <w:bookmarkEnd w:id="30"/>
    </w:p>
    <w:p w:rsidR="00FE37CB" w:rsidRDefault="00FE37CB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36"/>
        <w:gridCol w:w="5277"/>
      </w:tblGrid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>1.</w:t>
            </w:r>
          </w:p>
        </w:tc>
        <w:tc>
          <w:tcPr>
            <w:tcW w:w="1736" w:type="dxa"/>
          </w:tcPr>
          <w:p w:rsidR="00FE37CB" w:rsidRDefault="00FE37CB">
            <w:r>
              <w:t>PN-B-06050</w:t>
            </w:r>
          </w:p>
        </w:tc>
        <w:tc>
          <w:tcPr>
            <w:tcW w:w="5277" w:type="dxa"/>
          </w:tcPr>
          <w:p w:rsidR="00FE37CB" w:rsidRDefault="00FE37CB">
            <w:r>
              <w:t>Roboty ziemne budowlane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>2.</w:t>
            </w:r>
          </w:p>
        </w:tc>
        <w:tc>
          <w:tcPr>
            <w:tcW w:w="1736" w:type="dxa"/>
          </w:tcPr>
          <w:p w:rsidR="00FE37CB" w:rsidRDefault="00FE37CB">
            <w:r>
              <w:t>PN-B-06250</w:t>
            </w:r>
          </w:p>
        </w:tc>
        <w:tc>
          <w:tcPr>
            <w:tcW w:w="5277" w:type="dxa"/>
          </w:tcPr>
          <w:p w:rsidR="00FE37CB" w:rsidRDefault="00FE37CB">
            <w:r>
              <w:t>Beton zwykły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>3.</w:t>
            </w:r>
          </w:p>
        </w:tc>
        <w:tc>
          <w:tcPr>
            <w:tcW w:w="1736" w:type="dxa"/>
          </w:tcPr>
          <w:p w:rsidR="00FE37CB" w:rsidRDefault="00FE37CB">
            <w:r>
              <w:t>PN-B-06711</w:t>
            </w:r>
          </w:p>
        </w:tc>
        <w:tc>
          <w:tcPr>
            <w:tcW w:w="5277" w:type="dxa"/>
          </w:tcPr>
          <w:p w:rsidR="00FE37CB" w:rsidRDefault="00FE37CB">
            <w:r>
              <w:t>Kruszywo mineralne. Piasek do betonów i zapraw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>4.</w:t>
            </w:r>
          </w:p>
        </w:tc>
        <w:tc>
          <w:tcPr>
            <w:tcW w:w="1736" w:type="dxa"/>
          </w:tcPr>
          <w:p w:rsidR="00FE37CB" w:rsidRDefault="00FE37CB">
            <w:r>
              <w:t>PN-B-06712</w:t>
            </w:r>
          </w:p>
        </w:tc>
        <w:tc>
          <w:tcPr>
            <w:tcW w:w="5277" w:type="dxa"/>
          </w:tcPr>
          <w:p w:rsidR="00FE37CB" w:rsidRDefault="00FE37CB">
            <w:r>
              <w:t>Kruszywa mineralne do betonu zwykłego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36" w:type="dxa"/>
          </w:tcPr>
          <w:p w:rsidR="00FE37CB" w:rsidRDefault="00FE37CB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277" w:type="dxa"/>
          </w:tcPr>
          <w:p w:rsidR="00FE37CB" w:rsidRDefault="00FE37CB">
            <w:r w:rsidRPr="00FA3CB9">
              <w:t xml:space="preserve">Cement. </w:t>
            </w:r>
            <w:r>
              <w:t xml:space="preserve">Cement powszechnego użytku. Skład, wymagania               </w:t>
            </w:r>
            <w:r>
              <w:lastRenderedPageBreak/>
              <w:t>i ocena zgodności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lastRenderedPageBreak/>
              <w:t xml:space="preserve">  6.</w:t>
            </w:r>
          </w:p>
        </w:tc>
        <w:tc>
          <w:tcPr>
            <w:tcW w:w="1736" w:type="dxa"/>
          </w:tcPr>
          <w:p w:rsidR="00FE37CB" w:rsidRDefault="00FE37CB">
            <w:r>
              <w:t>PN-B-32250</w:t>
            </w:r>
          </w:p>
        </w:tc>
        <w:tc>
          <w:tcPr>
            <w:tcW w:w="5277" w:type="dxa"/>
          </w:tcPr>
          <w:p w:rsidR="00FE37CB" w:rsidRDefault="00FE37CB">
            <w:r>
              <w:t>Materiały budowlane. Woda do betonów i zapraw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7.</w:t>
            </w:r>
          </w:p>
        </w:tc>
        <w:tc>
          <w:tcPr>
            <w:tcW w:w="1736" w:type="dxa"/>
          </w:tcPr>
          <w:p w:rsidR="00FE37CB" w:rsidRDefault="00FE37CB">
            <w:r>
              <w:t>BN-88/6731-08</w:t>
            </w:r>
          </w:p>
        </w:tc>
        <w:tc>
          <w:tcPr>
            <w:tcW w:w="5277" w:type="dxa"/>
          </w:tcPr>
          <w:p w:rsidR="00FE37CB" w:rsidRDefault="00FE37CB">
            <w:r>
              <w:t>Cement. Transport i przechowywanie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8.</w:t>
            </w:r>
          </w:p>
        </w:tc>
        <w:tc>
          <w:tcPr>
            <w:tcW w:w="1736" w:type="dxa"/>
          </w:tcPr>
          <w:p w:rsidR="00FE37CB" w:rsidRDefault="00FE37CB">
            <w:r>
              <w:t>BN-74/6771-04</w:t>
            </w:r>
          </w:p>
        </w:tc>
        <w:tc>
          <w:tcPr>
            <w:tcW w:w="5277" w:type="dxa"/>
          </w:tcPr>
          <w:p w:rsidR="00FE37CB" w:rsidRDefault="00FE37CB">
            <w:r>
              <w:t>Drogi samochodowe. Masa zalewowa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9.</w:t>
            </w:r>
          </w:p>
        </w:tc>
        <w:tc>
          <w:tcPr>
            <w:tcW w:w="1736" w:type="dxa"/>
          </w:tcPr>
          <w:p w:rsidR="00FE37CB" w:rsidRDefault="00FE37CB">
            <w:r>
              <w:t>BN-80/6775-03/01</w:t>
            </w:r>
          </w:p>
        </w:tc>
        <w:tc>
          <w:tcPr>
            <w:tcW w:w="5277" w:type="dxa"/>
          </w:tcPr>
          <w:p w:rsidR="00FE37CB" w:rsidRDefault="00FE37CB">
            <w:r>
              <w:t>Prefabrykaty budowlane z betonu. Elementy nawierzchni dróg, ulic, parkingów i torowisk tramwajowych. Wspólne wymagania i badania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>10.</w:t>
            </w:r>
          </w:p>
        </w:tc>
        <w:tc>
          <w:tcPr>
            <w:tcW w:w="1736" w:type="dxa"/>
          </w:tcPr>
          <w:p w:rsidR="00FE37CB" w:rsidRDefault="00FE37CB">
            <w:r>
              <w:t>BN-80/6775-03/04</w:t>
            </w:r>
          </w:p>
        </w:tc>
        <w:tc>
          <w:tcPr>
            <w:tcW w:w="5277" w:type="dxa"/>
          </w:tcPr>
          <w:p w:rsidR="00FE37CB" w:rsidRDefault="00FE37CB">
            <w:r>
              <w:t>Prefabrykaty budowlane z betonu. Elementy nawierzchni dróg, ulic, parkingów i torowisk tramwajowych. Krawężniki i obrzeża chodnikowe</w:t>
            </w:r>
          </w:p>
        </w:tc>
      </w:tr>
      <w:tr w:rsidR="00FE37C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37CB" w:rsidRDefault="00FE37CB">
            <w:pPr>
              <w:jc w:val="center"/>
            </w:pPr>
            <w:r>
              <w:t>11.</w:t>
            </w:r>
          </w:p>
        </w:tc>
        <w:tc>
          <w:tcPr>
            <w:tcW w:w="1736" w:type="dxa"/>
          </w:tcPr>
          <w:p w:rsidR="00FE37CB" w:rsidRDefault="00FE37CB">
            <w:r>
              <w:t>BN-64/8845-02</w:t>
            </w:r>
          </w:p>
        </w:tc>
        <w:tc>
          <w:tcPr>
            <w:tcW w:w="5277" w:type="dxa"/>
          </w:tcPr>
          <w:p w:rsidR="00FE37CB" w:rsidRDefault="00FE37CB">
            <w:r>
              <w:t>Krawężniki uliczne. Warunki techniczne ustawiania i odbioru</w:t>
            </w:r>
          </w:p>
        </w:tc>
      </w:tr>
    </w:tbl>
    <w:p w:rsidR="00FE37CB" w:rsidRDefault="00FE37CB">
      <w:pPr>
        <w:pStyle w:val="Nagwek2"/>
      </w:pPr>
      <w:r>
        <w:t>10.2. Inne dokumenty</w:t>
      </w:r>
    </w:p>
    <w:p w:rsidR="00FE37CB" w:rsidRDefault="00FE37CB" w:rsidP="00FA3CB9">
      <w:pPr>
        <w:numPr>
          <w:ilvl w:val="0"/>
          <w:numId w:val="5"/>
        </w:numPr>
      </w:pPr>
      <w:r>
        <w:t>Katalog szczegółów drogowych ulic, placów i parków miejskich, Centrum Techniki Budownictwa Komunalnego, Warszawa 1987.</w:t>
      </w:r>
    </w:p>
    <w:p w:rsidR="00FE37CB" w:rsidRDefault="00FE37CB" w:rsidP="00FA3CB9">
      <w:pPr>
        <w:numPr>
          <w:ilvl w:val="0"/>
          <w:numId w:val="5"/>
        </w:numPr>
      </w:pPr>
      <w:r>
        <w:t xml:space="preserve">Katalog powtarzalnych elementów drogowych (KPED), </w:t>
      </w:r>
      <w:proofErr w:type="spellStart"/>
      <w:r>
        <w:t>Transprojekt-Warszawa</w:t>
      </w:r>
      <w:proofErr w:type="spellEnd"/>
      <w:r>
        <w:t>, 1979.</w:t>
      </w:r>
    </w:p>
    <w:p w:rsidR="00FE37CB" w:rsidRDefault="00FE37CB">
      <w:r>
        <w:tab/>
      </w:r>
    </w:p>
    <w:p w:rsidR="00FE37CB" w:rsidRDefault="00FE37CB"/>
    <w:p w:rsidR="00FE37CB" w:rsidRDefault="00FE37CB"/>
    <w:p w:rsidR="00FE37CB" w:rsidRDefault="00FE37CB">
      <w:pPr>
        <w:tabs>
          <w:tab w:val="left" w:pos="284"/>
          <w:tab w:val="right" w:leader="dot" w:pos="8789"/>
        </w:tabs>
        <w:jc w:val="center"/>
        <w:rPr>
          <w:b/>
        </w:rPr>
      </w:pPr>
    </w:p>
    <w:p w:rsidR="00FE37CB" w:rsidRDefault="00FE37CB">
      <w:pPr>
        <w:jc w:val="center"/>
        <w:rPr>
          <w:sz w:val="24"/>
        </w:rPr>
      </w:pPr>
    </w:p>
    <w:sectPr w:rsidR="00FE37CB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26" w:rsidRDefault="00894C26">
      <w:r>
        <w:separator/>
      </w:r>
    </w:p>
  </w:endnote>
  <w:endnote w:type="continuationSeparator" w:id="0">
    <w:p w:rsidR="00894C26" w:rsidRDefault="0089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26" w:rsidRDefault="00894C26">
      <w:r>
        <w:separator/>
      </w:r>
    </w:p>
  </w:footnote>
  <w:footnote w:type="continuationSeparator" w:id="0">
    <w:p w:rsidR="00894C26" w:rsidRDefault="0089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D" w:rsidRDefault="009020ED">
    <w:pPr>
      <w:rPr>
        <w:sz w:val="19"/>
      </w:rPr>
    </w:pPr>
  </w:p>
  <w:p w:rsidR="009020ED" w:rsidRDefault="009020ED">
    <w:pPr>
      <w:pStyle w:val="Nagwek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D" w:rsidRDefault="009020ED">
    <w:pPr>
      <w:pStyle w:val="Nagwek"/>
      <w:rPr>
        <w:rFonts w:ascii="Times New Roman" w:hAnsi="Times New Roman"/>
        <w:sz w:val="20"/>
      </w:rPr>
    </w:pPr>
  </w:p>
  <w:p w:rsidR="009020ED" w:rsidRDefault="009020ED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405D8"/>
    <w:lvl w:ilvl="0">
      <w:numFmt w:val="bullet"/>
      <w:lvlText w:val="*"/>
      <w:lvlJc w:val="left"/>
    </w:lvl>
  </w:abstractNum>
  <w:abstractNum w:abstractNumId="1">
    <w:nsid w:val="2AEC6773"/>
    <w:multiLevelType w:val="singleLevel"/>
    <w:tmpl w:val="709EF18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49E93E0C"/>
    <w:multiLevelType w:val="singleLevel"/>
    <w:tmpl w:val="709EF18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535E1195"/>
    <w:multiLevelType w:val="singleLevel"/>
    <w:tmpl w:val="709EF18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9DB4A62"/>
    <w:multiLevelType w:val="singleLevel"/>
    <w:tmpl w:val="D0362FF6"/>
    <w:lvl w:ilvl="0">
      <w:start w:val="12"/>
      <w:numFmt w:val="decimal"/>
      <w:lvlText w:val="%1."/>
      <w:legacy w:legacy="1" w:legacySpace="0" w:legacyIndent="340"/>
      <w:lvlJc w:val="left"/>
      <w:pPr>
        <w:ind w:left="397" w:hanging="34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CB9"/>
    <w:rsid w:val="000521FD"/>
    <w:rsid w:val="003A7A25"/>
    <w:rsid w:val="00514D9A"/>
    <w:rsid w:val="00894C26"/>
    <w:rsid w:val="008D10D9"/>
    <w:rsid w:val="009020ED"/>
    <w:rsid w:val="00B53461"/>
    <w:rsid w:val="00D24B30"/>
    <w:rsid w:val="00D718FF"/>
    <w:rsid w:val="00D86A80"/>
    <w:rsid w:val="00EF2AA1"/>
    <w:rsid w:val="00FA3CB9"/>
    <w:rsid w:val="00FB5123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D-08.05.00</vt:lpstr>
    </vt:vector>
  </TitlesOfParts>
  <Company>Warszawa      Skaryszewska 19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D-08.05.00</dc:title>
  <dc:subject>ost</dc:subject>
  <dc:creator>BZD BDIM Sp. z o.o.</dc:creator>
  <cp:keywords>specyfikacje, drogi, drogownictwo, ost</cp:keywords>
  <dc:description>Ścieki</dc:description>
  <cp:lastModifiedBy>Ruszkiewicz R.</cp:lastModifiedBy>
  <cp:revision>2</cp:revision>
  <cp:lastPrinted>2006-05-15T10:55:00Z</cp:lastPrinted>
  <dcterms:created xsi:type="dcterms:W3CDTF">2010-10-18T06:12:00Z</dcterms:created>
  <dcterms:modified xsi:type="dcterms:W3CDTF">2010-10-18T06:12:00Z</dcterms:modified>
</cp:coreProperties>
</file>