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 - 02.00.01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ROBOTY  ZIEMNE.  WYMAGANIA  OGÓLNE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 (GRUNTY)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</w:p>
    <w:p w:rsidR="003B7E7D" w:rsidRDefault="003B7E7D">
      <w:pPr>
        <w:pStyle w:val="Standardowytekst"/>
        <w:ind w:left="142"/>
        <w:rPr>
          <w:sz w:val="24"/>
        </w:rPr>
      </w:pPr>
      <w:r>
        <w:rPr>
          <w:sz w:val="24"/>
        </w:rPr>
        <w:fldChar w:fldCharType="end"/>
      </w:r>
    </w:p>
    <w:p w:rsidR="003B7E7D" w:rsidRDefault="003B7E7D">
      <w:pPr>
        <w:pStyle w:val="Nagwek1"/>
      </w:pPr>
      <w:r>
        <w:rPr>
          <w:b w:val="0"/>
          <w:sz w:val="28"/>
        </w:rPr>
        <w:br w:type="page"/>
      </w:r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  <w:r>
        <w:lastRenderedPageBreak/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B7E7D" w:rsidRDefault="003B7E7D">
      <w:pPr>
        <w:pStyle w:val="Nagwek2"/>
      </w:pPr>
      <w:bookmarkStart w:id="8" w:name="_Toc405615031"/>
      <w:bookmarkStart w:id="9" w:name="_Toc407161179"/>
      <w:r>
        <w:t>1.1. Przedmiot SST</w:t>
      </w:r>
      <w:bookmarkEnd w:id="8"/>
      <w:bookmarkEnd w:id="9"/>
    </w:p>
    <w:p w:rsidR="003B7E7D" w:rsidRDefault="003B7E7D">
      <w:pPr>
        <w:pStyle w:val="Standardowytekst"/>
      </w:pPr>
      <w:r>
        <w:tab/>
        <w:t>Przedmiotem niniejszej szczegółowej specyfikacji technicznej (SST) są wymagania dotyczące wykonania i odbioru liniowych robót ziemnych.</w:t>
      </w:r>
    </w:p>
    <w:p w:rsidR="003B7E7D" w:rsidRDefault="003B7E7D">
      <w:pPr>
        <w:pStyle w:val="Nagwek2"/>
      </w:pPr>
      <w:bookmarkStart w:id="10" w:name="_Toc405615032"/>
      <w:bookmarkStart w:id="11" w:name="_Toc407161180"/>
      <w:r>
        <w:t>1.2. Zakres stosowania SST</w:t>
      </w:r>
      <w:bookmarkEnd w:id="10"/>
      <w:bookmarkEnd w:id="11"/>
    </w:p>
    <w:p w:rsidR="003B7E7D" w:rsidRDefault="003B7E7D">
      <w:pPr>
        <w:pStyle w:val="Standardowytekst"/>
      </w:pPr>
      <w:r>
        <w:tab/>
        <w:t xml:space="preserve">Szczegółowa specyfikacja techniczna (SST) stanowi obowiązując  dokument przetargowy i kontraktowy przy zlecaniu i realizacji robót drogowych – przebudowa </w:t>
      </w:r>
      <w:r w:rsidR="00C27465">
        <w:t xml:space="preserve">ulicy </w:t>
      </w:r>
      <w:r w:rsidR="00672033">
        <w:t xml:space="preserve"> </w:t>
      </w:r>
      <w:r w:rsidR="00AF680A">
        <w:t>ROLNEJ</w:t>
      </w:r>
      <w:r w:rsidR="00A2790D">
        <w:t xml:space="preserve"> w Czempiniu </w:t>
      </w:r>
      <w:r>
        <w:t>.</w:t>
      </w:r>
    </w:p>
    <w:p w:rsidR="003B7E7D" w:rsidRDefault="003B7E7D">
      <w:pPr>
        <w:pStyle w:val="Nagwek2"/>
      </w:pPr>
      <w:bookmarkStart w:id="12" w:name="_Toc405615033"/>
      <w:bookmarkStart w:id="13" w:name="_Toc407161181"/>
      <w:r>
        <w:t>1.3. Zakres robót objętych SST</w:t>
      </w:r>
      <w:bookmarkEnd w:id="12"/>
      <w:bookmarkEnd w:id="13"/>
    </w:p>
    <w:p w:rsidR="003B7E7D" w:rsidRDefault="003B7E7D">
      <w:pPr>
        <w:pStyle w:val="Standardowytekst"/>
      </w:pPr>
      <w:r>
        <w:tab/>
        <w:t>Ustalenia zawarte w niniejszej specyfikacji dotyczą zasad prowadzenia robót ziemnych w czasie budowy lub modernizacji dróg i obejmują: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wykonanie wykopów w gruntach </w:t>
      </w:r>
      <w:proofErr w:type="spellStart"/>
      <w:r>
        <w:t>nieskalistych</w:t>
      </w:r>
      <w:proofErr w:type="spellEnd"/>
      <w:r>
        <w:t>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wykonanie wykopów w gruntach skalistych,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budowę nasypów drogowych,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pozyskiwanie gruntu z ukopu lub </w:t>
      </w:r>
      <w:proofErr w:type="spellStart"/>
      <w:r>
        <w:t>dokopu</w:t>
      </w:r>
      <w:proofErr w:type="spellEnd"/>
      <w:r>
        <w:t>.</w:t>
      </w:r>
    </w:p>
    <w:p w:rsidR="003B7E7D" w:rsidRDefault="003B7E7D">
      <w:pPr>
        <w:pStyle w:val="Nagwek2"/>
      </w:pPr>
      <w:bookmarkStart w:id="14" w:name="_Toc405615034"/>
      <w:bookmarkStart w:id="15" w:name="_Toc407161182"/>
      <w:r>
        <w:t>1.4. Określenia podstawowe</w:t>
      </w:r>
      <w:bookmarkEnd w:id="14"/>
      <w:bookmarkEnd w:id="15"/>
    </w:p>
    <w:p w:rsidR="003B7E7D" w:rsidRDefault="003B7E7D">
      <w:pPr>
        <w:pStyle w:val="Standardowytekst"/>
        <w:tabs>
          <w:tab w:val="right" w:pos="-1985"/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>Budowla ziemna - budowla wykonana w gruncie lub z gruntu naturalnego lub z gruntu antropogenicznego spełniająca warunki stateczności i odwodnienia.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  <w:rPr>
          <w:b/>
        </w:rPr>
      </w:pPr>
      <w:r>
        <w:rPr>
          <w:b/>
        </w:rPr>
        <w:t>1.4.2.</w:t>
      </w:r>
      <w:r>
        <w:rPr>
          <w:b/>
        </w:rPr>
        <w:tab/>
      </w:r>
      <w:r>
        <w:t>Korpus drogowy - nasyp lub ta część wykopu, która jest ograniczona koroną drogi i skarpami rowów.</w:t>
      </w:r>
      <w:r>
        <w:rPr>
          <w:b/>
        </w:rPr>
        <w:t xml:space="preserve"> 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Wysokość nasypu lub głębokość wykopu - różnica rzędnej terenu i rzędnej robót ziemnych, wyznaczonych w osi nasypu lub wykopu.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1.4.4.</w:t>
      </w:r>
      <w:r>
        <w:rPr>
          <w:b/>
        </w:rPr>
        <w:tab/>
      </w:r>
      <w:r>
        <w:t xml:space="preserve">Nasyp niski - nasyp, którego wysokość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1.4.5.</w:t>
      </w:r>
      <w:r>
        <w:rPr>
          <w:b/>
        </w:rPr>
        <w:tab/>
      </w:r>
      <w:r>
        <w:t xml:space="preserve">Nasyp średni - nasyp, którego wysokość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1.4.6.</w:t>
      </w:r>
      <w:r>
        <w:rPr>
          <w:b/>
        </w:rPr>
        <w:tab/>
      </w:r>
      <w:r>
        <w:t xml:space="preserve">Nasyp wysoki - nasyp, którego wysokość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1.4.7.</w:t>
      </w:r>
      <w:r>
        <w:rPr>
          <w:b/>
        </w:rPr>
        <w:tab/>
      </w:r>
      <w:r>
        <w:t xml:space="preserve">Wykop płytki - wykop, którego głębokość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1.4.8.</w:t>
      </w:r>
      <w:r>
        <w:rPr>
          <w:b/>
        </w:rPr>
        <w:tab/>
      </w:r>
      <w:r>
        <w:t xml:space="preserve">Wykop średni - wykop, którego głębokość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1.4.9.</w:t>
      </w:r>
      <w:r>
        <w:rPr>
          <w:b/>
        </w:rPr>
        <w:tab/>
      </w:r>
      <w:r>
        <w:t xml:space="preserve">Wykop głęboki - wykop, którego głębokość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 w:rsidP="00342C6B">
      <w:pPr>
        <w:pStyle w:val="Standardowytekst"/>
        <w:numPr>
          <w:ilvl w:val="0"/>
          <w:numId w:val="2"/>
        </w:numPr>
        <w:spacing w:before="120"/>
        <w:ind w:left="0" w:firstLine="0"/>
      </w:pPr>
      <w:r>
        <w:t>Bagno - grunt organiczny nasycony wodą, o małej nośności, charakteryzujący się znacznym i długotrwałym osiadaniem pod obciążeniem.</w:t>
      </w:r>
    </w:p>
    <w:p w:rsidR="003B7E7D" w:rsidRDefault="003B7E7D" w:rsidP="00342C6B">
      <w:pPr>
        <w:pStyle w:val="Standardowytekst"/>
        <w:numPr>
          <w:ilvl w:val="0"/>
          <w:numId w:val="3"/>
        </w:numPr>
        <w:spacing w:before="120"/>
        <w:ind w:left="0" w:firstLine="0"/>
      </w:pPr>
      <w:r>
        <w:t xml:space="preserve">Grunt </w:t>
      </w:r>
      <w:proofErr w:type="spellStart"/>
      <w:r>
        <w:t>nieskalisty</w:t>
      </w:r>
      <w:proofErr w:type="spellEnd"/>
      <w:r>
        <w:t xml:space="preserve"> - każdy grunt rodzimy, nie określony w punkcie 1.4.12 jako grunt skalisty.</w:t>
      </w:r>
    </w:p>
    <w:p w:rsidR="003B7E7D" w:rsidRDefault="003B7E7D">
      <w:pPr>
        <w:pStyle w:val="Standardowytekst"/>
        <w:spacing w:before="120"/>
      </w:pPr>
      <w:r>
        <w:rPr>
          <w:b/>
        </w:rPr>
        <w:t>1.4.12.</w:t>
      </w:r>
      <w:r>
        <w:rPr>
          <w:b/>
        </w:rPr>
        <w:tab/>
      </w:r>
      <w: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t>R</w:t>
      </w:r>
      <w:r>
        <w:rPr>
          <w:vertAlign w:val="subscript"/>
        </w:rPr>
        <w:t>c</w:t>
      </w:r>
      <w:proofErr w:type="spellEnd"/>
      <w:r>
        <w:t xml:space="preserve"> ponad 0,2 </w:t>
      </w:r>
      <w:proofErr w:type="spellStart"/>
      <w:r>
        <w:t>MPa</w:t>
      </w:r>
      <w:proofErr w:type="spellEnd"/>
      <w:r>
        <w:t>; wymaga użycia środków wybuchowych albo narzędzi pneumatycznych lub hydraulicznych do odspojenia.</w:t>
      </w:r>
    </w:p>
    <w:p w:rsidR="003B7E7D" w:rsidRDefault="003B7E7D">
      <w:pPr>
        <w:pStyle w:val="Standardowytekst"/>
        <w:spacing w:before="120"/>
      </w:pPr>
      <w:r>
        <w:rPr>
          <w:b/>
        </w:rPr>
        <w:t>1.4.13.</w:t>
      </w:r>
      <w:r>
        <w:rPr>
          <w:b/>
        </w:rPr>
        <w:tab/>
      </w:r>
      <w:r>
        <w:t>Ukop - miejsce pozyskania gruntu do wykonania nasypów, położone w obrębie pasa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1.4.14.</w:t>
      </w:r>
      <w:r>
        <w:rPr>
          <w:b/>
        </w:rPr>
        <w:tab/>
      </w:r>
      <w:r>
        <w:t>Dokop - miejsce pozyskania gruntu do wykonania nasypów, położone poza pasem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1.4.15.</w:t>
      </w:r>
      <w:r>
        <w:rPr>
          <w:b/>
        </w:rPr>
        <w:tab/>
      </w:r>
      <w:r>
        <w:t>Odkład - miejsce wbudowania lub składowania (odwiezienia) gruntów pozyskanych w czasie wykonywania wykopów, a nie wykorzystanych do budowy nasypów oraz innych prac związanych z trasą drogową.</w:t>
      </w:r>
    </w:p>
    <w:p w:rsidR="003B7E7D" w:rsidRDefault="003B7E7D">
      <w:pPr>
        <w:pStyle w:val="Standardowytekst"/>
        <w:spacing w:before="120"/>
      </w:pPr>
      <w:r>
        <w:rPr>
          <w:b/>
        </w:rPr>
        <w:t>1.4.16.</w:t>
      </w:r>
      <w:r>
        <w:rPr>
          <w:b/>
        </w:rPr>
        <w:tab/>
      </w:r>
      <w:r>
        <w:t xml:space="preserve">Wskaźnik zagęszczenia gruntu - wielkość charakteryzująca stan zagęszczenia gruntu, określona wg wzoru: </w:t>
      </w:r>
    </w:p>
    <w:p w:rsidR="003B7E7D" w:rsidRDefault="003B7E7D">
      <w:pPr>
        <w:pStyle w:val="Standardowytekst"/>
        <w:spacing w:before="120"/>
        <w:jc w:val="center"/>
      </w:pPr>
      <w:r>
        <w:rPr>
          <w:position w:val="-26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>
            <v:imagedata r:id="rId7" o:title=""/>
          </v:shape>
          <o:OLEObject Type="Embed" ProgID="Equation.3" ShapeID="_x0000_i1025" DrawAspect="Content" ObjectID="_1348893589" r:id="rId8"/>
        </w:object>
      </w:r>
    </w:p>
    <w:p w:rsidR="003B7E7D" w:rsidRDefault="003B7E7D">
      <w:pPr>
        <w:pStyle w:val="Standardowytekst"/>
        <w:jc w:val="lef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lastRenderedPageBreak/>
        <w:sym w:font="Symbol" w:char="F072"/>
      </w:r>
      <w:r>
        <w:rPr>
          <w:vertAlign w:val="subscript"/>
        </w:rPr>
        <w:t>d</w:t>
      </w:r>
      <w:r>
        <w:tab/>
        <w:t>-</w:t>
      </w:r>
      <w:r>
        <w:tab/>
        <w:t>gęstość objętościowa szkieletu zagęszczonego gruntu, zgodnie z BN-77/8931-12 [9], (Mg/m</w:t>
      </w:r>
      <w:r>
        <w:rPr>
          <w:vertAlign w:val="superscript"/>
        </w:rPr>
        <w:t>3</w:t>
      </w:r>
      <w:r>
        <w:t>),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proofErr w:type="spellStart"/>
      <w:r>
        <w:rPr>
          <w:vertAlign w:val="subscript"/>
        </w:rPr>
        <w:t>ds</w:t>
      </w:r>
      <w:proofErr w:type="spellEnd"/>
      <w:r>
        <w:tab/>
        <w:t>-</w:t>
      </w:r>
      <w:r>
        <w:tab/>
        <w:t>maksymalna gęstość objętościowa szkieletu gruntowego przy wilgotności optymalnej, zgodnie z PN-B-04481:1988 [2], służąca do oceny zagęszczenia gruntu w robotach ziemnych, (Mg/m</w:t>
      </w:r>
      <w:r>
        <w:rPr>
          <w:vertAlign w:val="superscript"/>
        </w:rPr>
        <w:t>3</w:t>
      </w:r>
      <w:r>
        <w:t>).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1.4.17. </w:t>
      </w:r>
      <w:r>
        <w:t xml:space="preserve">Wskaźnik różnoziarnistości - wielkość charakteryzująca </w:t>
      </w:r>
      <w:proofErr w:type="spellStart"/>
      <w:r>
        <w:t>zagęszczalność</w:t>
      </w:r>
      <w:proofErr w:type="spellEnd"/>
      <w:r>
        <w:t xml:space="preserve"> gruntów niespoistych, określona wg wzoru:</w:t>
      </w:r>
    </w:p>
    <w:p w:rsidR="003B7E7D" w:rsidRDefault="003B7E7D">
      <w:pPr>
        <w:pStyle w:val="Standardowytekst"/>
        <w:jc w:val="center"/>
        <w:rPr>
          <w:b/>
        </w:rPr>
      </w:pPr>
      <w:r>
        <w:rPr>
          <w:position w:val="-26"/>
        </w:rPr>
        <w:object w:dxaOrig="780" w:dyaOrig="600">
          <v:shape id="_x0000_i1026" type="#_x0000_t75" style="width:39pt;height:30pt" o:ole="">
            <v:imagedata r:id="rId9" o:title=""/>
          </v:shape>
          <o:OLEObject Type="Embed" ProgID="Equation.3" ShapeID="_x0000_i1026" DrawAspect="Content" ObjectID="_1348893590" r:id="rId10"/>
        </w:object>
      </w:r>
    </w:p>
    <w:p w:rsidR="003B7E7D" w:rsidRDefault="003B7E7D">
      <w:pPr>
        <w:pStyle w:val="Standardowyteks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60</w:t>
      </w:r>
      <w:r>
        <w:tab/>
        <w:t>-</w:t>
      </w:r>
      <w:r>
        <w:tab/>
        <w:t>średnica oczek sita, przez które przechodzi 60% gruntu, (mm),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10</w:t>
      </w:r>
      <w:r>
        <w:tab/>
        <w:t>-</w:t>
      </w:r>
      <w:r>
        <w:tab/>
        <w:t>średnica oczek sita, przez które przechodzi 10% gruntu, (mm).</w:t>
      </w:r>
    </w:p>
    <w:p w:rsidR="003B7E7D" w:rsidRDefault="003B7E7D">
      <w:pPr>
        <w:pStyle w:val="Standardowytekst"/>
        <w:spacing w:before="120"/>
      </w:pPr>
      <w:r>
        <w:rPr>
          <w:b/>
        </w:rPr>
        <w:t>1.4.18.</w:t>
      </w:r>
      <w:r>
        <w:t xml:space="preserve"> Wskaźnik odkształcenia gruntu - wielkość charakteryzująca stan zagęszczenia gruntu, określona wg wzoru: </w:t>
      </w:r>
    </w:p>
    <w:p w:rsidR="003B7E7D" w:rsidRDefault="003B7E7D">
      <w:pPr>
        <w:pStyle w:val="Standardowytekst"/>
        <w:tabs>
          <w:tab w:val="left" w:pos="426"/>
          <w:tab w:val="left" w:pos="709"/>
        </w:tabs>
        <w:jc w:val="center"/>
      </w:pPr>
      <w:r>
        <w:rPr>
          <w:position w:val="-26"/>
        </w:rPr>
        <w:object w:dxaOrig="720" w:dyaOrig="600">
          <v:shape id="_x0000_i1027" type="#_x0000_t75" style="width:36pt;height:30pt" o:ole="">
            <v:imagedata r:id="rId11" o:title=""/>
          </v:shape>
          <o:OLEObject Type="Embed" ProgID="Equation.3" ShapeID="_x0000_i1027" DrawAspect="Content" ObjectID="_1348893591" r:id="rId12"/>
        </w:objec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1</w:t>
      </w:r>
      <w:r>
        <w:tab/>
        <w:t>-</w:t>
      </w:r>
      <w:r>
        <w:tab/>
        <w:t>moduł odkształcenia gruntu oznaczony w pierwszym obciążeniu badanej warstwy zgodnie z PN-S-02205:1998 [4],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2</w:t>
      </w:r>
      <w:r>
        <w:tab/>
        <w:t>-</w:t>
      </w:r>
      <w:r>
        <w:tab/>
        <w:t>moduł odkształcenia gruntu oznaczony w powtórnym obciążeniu badanej warstwy zgodnie z PN-S-02205:1998 [4].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</w:p>
    <w:p w:rsidR="003B7E7D" w:rsidRDefault="003B7E7D">
      <w:pPr>
        <w:pStyle w:val="Standardowytekst"/>
      </w:pPr>
      <w:r>
        <w:rPr>
          <w:b/>
        </w:rPr>
        <w:t>1.4.19</w:t>
      </w:r>
      <w:r>
        <w:t xml:space="preserve">. </w:t>
      </w:r>
      <w:proofErr w:type="spellStart"/>
      <w:r>
        <w:t>Geosyntetyk</w:t>
      </w:r>
      <w:proofErr w:type="spellEnd"/>
      <w:r>
        <w:t xml:space="preserve"> - materiał stosowany w budownictwie drogowym, wytwarzany  z wysoko polimeryzowanych włókien syntetycznych, w tym tworzyw termoplastycznych polietylenowych, polipropylenowych i poliestrowych, charakteryzujący się między innymi dużą wytrzymałością oraz wodoprzepuszczalnością, zgodny z PN-ISO10318:1993 [5], PN-EN-963:1999 [6].</w:t>
      </w:r>
    </w:p>
    <w:p w:rsidR="003B7E7D" w:rsidRDefault="003B7E7D">
      <w:pPr>
        <w:pStyle w:val="Standardowytekst"/>
      </w:pPr>
      <w:proofErr w:type="spellStart"/>
      <w:r>
        <w:t>Geosyntetyki</w:t>
      </w:r>
      <w:proofErr w:type="spellEnd"/>
      <w:r>
        <w:t xml:space="preserve"> obejmują: </w:t>
      </w:r>
      <w:proofErr w:type="spellStart"/>
      <w:r>
        <w:t>geotkaniny</w:t>
      </w:r>
      <w:proofErr w:type="spellEnd"/>
      <w:r>
        <w:t xml:space="preserve">, </w:t>
      </w:r>
      <w:proofErr w:type="spellStart"/>
      <w:r>
        <w:t>geowłókniny</w:t>
      </w:r>
      <w:proofErr w:type="spellEnd"/>
      <w:r>
        <w:t xml:space="preserve">, </w:t>
      </w:r>
      <w:proofErr w:type="spellStart"/>
      <w:r>
        <w:t>geodzianiny</w:t>
      </w:r>
      <w:proofErr w:type="spellEnd"/>
      <w:r>
        <w:t xml:space="preserve">, </w:t>
      </w:r>
      <w:proofErr w:type="spellStart"/>
      <w:r>
        <w:t>georuszty</w:t>
      </w:r>
      <w:proofErr w:type="spellEnd"/>
      <w:r>
        <w:t xml:space="preserve">, </w:t>
      </w:r>
      <w:proofErr w:type="spellStart"/>
      <w:r>
        <w:t>geosiatki</w:t>
      </w:r>
      <w:proofErr w:type="spellEnd"/>
      <w:r>
        <w:t xml:space="preserve">, </w:t>
      </w:r>
      <w:proofErr w:type="spellStart"/>
      <w:r>
        <w:t>geokompozyty</w:t>
      </w:r>
      <w:proofErr w:type="spellEnd"/>
      <w:r>
        <w:t xml:space="preserve">, </w:t>
      </w:r>
      <w:proofErr w:type="spellStart"/>
      <w:r>
        <w:t>geomembrany</w:t>
      </w:r>
      <w:proofErr w:type="spellEnd"/>
      <w:r>
        <w:t xml:space="preserve">, zgodnie z wytycznymi </w:t>
      </w:r>
      <w:proofErr w:type="spellStart"/>
      <w:r>
        <w:t>IBDiM</w:t>
      </w:r>
      <w:proofErr w:type="spellEnd"/>
      <w:r>
        <w:t xml:space="preserve"> [13].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1.4.20.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3B7E7D" w:rsidRDefault="003B7E7D">
      <w:pPr>
        <w:pStyle w:val="Nagwek2"/>
      </w:pPr>
      <w:bookmarkStart w:id="16" w:name="_Toc405615035"/>
      <w:bookmarkStart w:id="17" w:name="_Toc407161183"/>
      <w:r>
        <w:t>1.5. Ogólne wymagania dotyczące robót</w:t>
      </w:r>
      <w:bookmarkEnd w:id="16"/>
      <w:bookmarkEnd w:id="17"/>
    </w:p>
    <w:p w:rsidR="003B7E7D" w:rsidRDefault="003B7E7D">
      <w:pPr>
        <w:pStyle w:val="Standardowytekst"/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B7E7D" w:rsidRDefault="003B7E7D">
      <w:pPr>
        <w:pStyle w:val="Nagwek1"/>
      </w:pPr>
      <w:bookmarkStart w:id="18" w:name="_Toc405615036"/>
      <w:bookmarkStart w:id="19" w:name="_Toc407161184"/>
      <w:bookmarkStart w:id="20" w:name="_Toc418996323"/>
      <w:bookmarkStart w:id="21" w:name="_Toc418996692"/>
      <w:bookmarkStart w:id="22" w:name="_Toc418997079"/>
      <w:bookmarkStart w:id="23" w:name="_Toc418998489"/>
      <w:bookmarkStart w:id="24" w:name="_Toc418998845"/>
      <w:bookmarkStart w:id="25" w:name="_Toc419000090"/>
      <w:r>
        <w:t>2. materiały (grunty)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B7E7D" w:rsidRDefault="003B7E7D">
      <w:pPr>
        <w:pStyle w:val="Nagwek2"/>
      </w:pPr>
      <w:bookmarkStart w:id="26" w:name="_Toc405615037"/>
      <w:bookmarkStart w:id="27" w:name="_Toc407161185"/>
      <w:r>
        <w:t>2.1. Ogólne wymagania dotyczące materiałów</w:t>
      </w:r>
      <w:bookmarkEnd w:id="26"/>
      <w:bookmarkEnd w:id="27"/>
    </w:p>
    <w:p w:rsidR="003B7E7D" w:rsidRDefault="003B7E7D">
      <w:pPr>
        <w:pStyle w:val="Standardowytekst"/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28" w:name="_Toc405615038"/>
      <w:bookmarkStart w:id="29" w:name="_Toc407161186"/>
      <w:r>
        <w:t>2.2. Podział gruntów</w:t>
      </w:r>
      <w:bookmarkEnd w:id="28"/>
      <w:bookmarkEnd w:id="29"/>
    </w:p>
    <w:p w:rsidR="003B7E7D" w:rsidRDefault="003B7E7D">
      <w:pPr>
        <w:pStyle w:val="Standardowytekst"/>
      </w:pPr>
      <w:r>
        <w:tab/>
        <w:t xml:space="preserve">Podział gruntów pod względem </w:t>
      </w:r>
      <w:proofErr w:type="spellStart"/>
      <w:r>
        <w:t>wysadzinowości</w:t>
      </w:r>
      <w:proofErr w:type="spellEnd"/>
      <w:r>
        <w:t xml:space="preserve"> podaje tablica 1.</w:t>
      </w:r>
    </w:p>
    <w:p w:rsidR="003B7E7D" w:rsidRDefault="003B7E7D">
      <w:pPr>
        <w:pStyle w:val="Standardowytekst"/>
      </w:pPr>
      <w:r>
        <w:tab/>
        <w:t xml:space="preserve">Podział gruntów pod względem przydatności do budowy nasypów podano w SST D-02.03.01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30" w:name="_Toc405615039"/>
      <w:bookmarkStart w:id="31" w:name="_Toc407161187"/>
      <w:r>
        <w:t>2.3. Zasady wykorzystania gruntów</w:t>
      </w:r>
      <w:bookmarkEnd w:id="30"/>
      <w:bookmarkEnd w:id="31"/>
    </w:p>
    <w:p w:rsidR="003B7E7D" w:rsidRDefault="003B7E7D">
      <w:pPr>
        <w:pStyle w:val="Standardowytekst"/>
      </w:pPr>
      <w: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3B7E7D" w:rsidRDefault="003B7E7D">
      <w:pPr>
        <w:pStyle w:val="Standardowytekst"/>
      </w:pPr>
      <w:r>
        <w:tab/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3B7E7D" w:rsidRDefault="003B7E7D">
      <w:pPr>
        <w:pStyle w:val="Standardowytekst"/>
        <w:spacing w:after="120"/>
      </w:pPr>
      <w:r>
        <w:tab/>
        <w:t xml:space="preserve">Grunty i materiały nieprzydatne do budowy nasypów, określone w SST D-02.03.01 </w:t>
      </w:r>
      <w:proofErr w:type="spellStart"/>
      <w:r>
        <w:t>pkt</w:t>
      </w:r>
      <w:proofErr w:type="spellEnd"/>
      <w:r>
        <w:t xml:space="preserve"> 2.4, powinny być wywiezione przez Wykonawcę na odkład. Zapewnienie terenów na odkład należy do obowiązków Zamawiającego, o ile nie określono tego inaczej w kontrakcie. Inżynier może nakazać </w:t>
      </w:r>
      <w:r>
        <w:lastRenderedPageBreak/>
        <w:t>pozostawienie na terenie budowy gruntów, których czasowa nieprzydatność wynika jedynie z powodu zamarznięcia lub nadmiernej wilgotności.</w:t>
      </w:r>
    </w:p>
    <w:p w:rsidR="003B7E7D" w:rsidRDefault="003B7E7D">
      <w:pPr>
        <w:pStyle w:val="Standardowytekst"/>
        <w:keepNext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Geosyntetyk</w:t>
      </w:r>
      <w:proofErr w:type="spellEnd"/>
    </w:p>
    <w:p w:rsidR="003B7E7D" w:rsidRDefault="003B7E7D">
      <w:pPr>
        <w:spacing w:before="120"/>
      </w:pPr>
      <w:r>
        <w:tab/>
      </w:r>
      <w:proofErr w:type="spellStart"/>
      <w:r>
        <w:t>Geosyntetyk</w:t>
      </w:r>
      <w:proofErr w:type="spellEnd"/>
      <w:r>
        <w:t xml:space="preserve"> powinien być materiałem odpornym na działanie wilgoci, środowiska agresywnego chemicznie i biologicznie oraz temperatury. Powinien być to materiał bez rozdarć, dziur i przerw ciągłości z dobrą przyczepnością do gruntu. Właściwości stosowanych </w:t>
      </w:r>
      <w:proofErr w:type="spellStart"/>
      <w:r>
        <w:t>geosyntetyków</w:t>
      </w:r>
      <w:proofErr w:type="spellEnd"/>
      <w:r>
        <w:t xml:space="preserve"> powinny być zgodne z PN-EN-963:1999 [6] i dokumentacją projektową. </w:t>
      </w:r>
      <w:proofErr w:type="spellStart"/>
      <w:r>
        <w:t>Geosyntetyk</w:t>
      </w:r>
      <w:proofErr w:type="spellEnd"/>
      <w:r>
        <w:t xml:space="preserve"> powinien posiadać aprobatę techniczna wydaną przez uprawnioną jednostkę.</w:t>
      </w:r>
    </w:p>
    <w:p w:rsidR="003B7E7D" w:rsidRDefault="003B7E7D">
      <w:pPr>
        <w:pStyle w:val="Standardowytekst"/>
      </w:pPr>
    </w:p>
    <w:p w:rsidR="003B7E7D" w:rsidRDefault="003B7E7D">
      <w:pPr>
        <w:pStyle w:val="Standardowytekst"/>
        <w:spacing w:after="120"/>
      </w:pPr>
      <w:r>
        <w:t xml:space="preserve">Tablica 1. Podział gruntów pod względem </w:t>
      </w:r>
      <w:proofErr w:type="spellStart"/>
      <w:r>
        <w:t>wysadzinowości</w:t>
      </w:r>
      <w:proofErr w:type="spellEnd"/>
      <w:r>
        <w:t xml:space="preserve"> wg PN-S-02205:1998 [4]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709"/>
        <w:gridCol w:w="1628"/>
        <w:gridCol w:w="1628"/>
        <w:gridCol w:w="1629"/>
      </w:tblGrid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proofErr w:type="spellStart"/>
            <w:r>
              <w:t>Jed</w:t>
            </w:r>
            <w:proofErr w:type="spellEnd"/>
            <w:r>
              <w:t>-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Grupy gruntów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rPr>
                <w:sz w:val="16"/>
              </w:rPr>
              <w:t>właściwości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nostki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niewysadzinowe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t>wątpliwe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wysadzinowe</w:t>
            </w:r>
            <w:proofErr w:type="spellEnd"/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Rodzaj gruntu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rumosz </w:t>
            </w:r>
            <w:proofErr w:type="spellStart"/>
            <w:r>
              <w:t>niegliniasty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gruby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średni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drobny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żużel </w:t>
            </w:r>
            <w:proofErr w:type="spellStart"/>
            <w:r>
              <w:t>nierozpadowy</w:t>
            </w:r>
            <w:proofErr w:type="spellEnd"/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pylasty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zwietrzelina gliniasta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rumosz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 gliniasta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mało </w:t>
            </w:r>
            <w:proofErr w:type="spellStart"/>
            <w:r>
              <w:rPr>
                <w:b/>
                <w:sz w:val="18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  czysta zwięzła, glina zwięzła, glina pylasta zwięzła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ił, ił </w:t>
            </w:r>
            <w:proofErr w:type="spellStart"/>
            <w:r>
              <w:rPr>
                <w:sz w:val="18"/>
              </w:rPr>
              <w:t>piaszczys-ty</w:t>
            </w:r>
            <w:proofErr w:type="spellEnd"/>
            <w:r>
              <w:rPr>
                <w:sz w:val="18"/>
              </w:rPr>
              <w:t>, ił pylasty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bardzo </w:t>
            </w:r>
            <w:proofErr w:type="spellStart"/>
            <w:r>
              <w:rPr>
                <w:b/>
                <w:sz w:val="16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piasek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pył, pył </w:t>
            </w:r>
            <w:proofErr w:type="spellStart"/>
            <w:r>
              <w:rPr>
                <w:sz w:val="18"/>
              </w:rPr>
              <w:t>piasz-czysty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czysta, glina, glina pylasta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ił warwowy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Zawartość cząstek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0,02  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15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15 do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3 do 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10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 xml:space="preserve">Kapilarność bierna </w:t>
            </w:r>
            <w:proofErr w:type="spellStart"/>
            <w:r>
              <w:t>H</w:t>
            </w:r>
            <w:r>
              <w:rPr>
                <w:vertAlign w:val="subscript"/>
              </w:rPr>
              <w:t>kb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1,0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1,0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1,0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Wskaźnik piaskowy WP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25 do 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25</w:t>
            </w:r>
          </w:p>
        </w:tc>
      </w:tr>
    </w:tbl>
    <w:p w:rsidR="003B7E7D" w:rsidRDefault="003B7E7D" w:rsidP="00342C6B">
      <w:pPr>
        <w:pStyle w:val="Standardowytekst"/>
        <w:numPr>
          <w:ilvl w:val="12"/>
          <w:numId w:val="0"/>
        </w:numPr>
      </w:pPr>
    </w:p>
    <w:p w:rsidR="003B7E7D" w:rsidRDefault="003B7E7D" w:rsidP="00342C6B">
      <w:pPr>
        <w:pStyle w:val="Nagwek1"/>
        <w:numPr>
          <w:ilvl w:val="12"/>
          <w:numId w:val="0"/>
        </w:numPr>
      </w:pPr>
      <w:bookmarkStart w:id="32" w:name="_Toc418996324"/>
      <w:bookmarkStart w:id="33" w:name="_Toc418996693"/>
      <w:bookmarkStart w:id="34" w:name="_Toc418997080"/>
      <w:bookmarkStart w:id="35" w:name="_Toc418998490"/>
      <w:bookmarkStart w:id="36" w:name="_Toc418998846"/>
      <w:bookmarkStart w:id="37" w:name="_Toc419000091"/>
      <w:bookmarkStart w:id="38" w:name="_Toc405615042"/>
      <w:r>
        <w:t>3. sprzęt</w:t>
      </w:r>
      <w:bookmarkEnd w:id="32"/>
      <w:bookmarkEnd w:id="33"/>
      <w:bookmarkEnd w:id="34"/>
      <w:bookmarkEnd w:id="35"/>
      <w:bookmarkEnd w:id="36"/>
      <w:bookmarkEnd w:id="37"/>
    </w:p>
    <w:p w:rsidR="003B7E7D" w:rsidRDefault="003B7E7D" w:rsidP="00342C6B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3B7E7D" w:rsidRDefault="003B7E7D" w:rsidP="00342C6B">
      <w:pPr>
        <w:pStyle w:val="StylIwony"/>
        <w:numPr>
          <w:ilvl w:val="12"/>
          <w:numId w:val="0"/>
        </w:numPr>
        <w:spacing w:before="0" w:after="0"/>
      </w:pPr>
      <w:r>
        <w:rPr>
          <w:rFonts w:ascii="Times New Roman" w:hAnsi="Times New Roman"/>
          <w:sz w:val="20"/>
        </w:rPr>
        <w:tab/>
        <w:t xml:space="preserve">Ogólne wymagania dotyczące sprzętu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3B7E7D" w:rsidRDefault="003B7E7D" w:rsidP="00342C6B">
      <w:pPr>
        <w:pStyle w:val="Nagwek2"/>
        <w:numPr>
          <w:ilvl w:val="12"/>
          <w:numId w:val="0"/>
        </w:numPr>
      </w:pPr>
      <w:bookmarkStart w:id="39" w:name="_Toc407161190"/>
      <w:r>
        <w:t>3.2. Sprzęt do robót ziemnych</w:t>
      </w:r>
      <w:bookmarkEnd w:id="38"/>
      <w:bookmarkEnd w:id="39"/>
    </w:p>
    <w:p w:rsidR="003B7E7D" w:rsidRDefault="003B7E7D" w:rsidP="00342C6B">
      <w:pPr>
        <w:pStyle w:val="Standardowytekst"/>
        <w:numPr>
          <w:ilvl w:val="12"/>
          <w:numId w:val="0"/>
        </w:numPr>
      </w:pPr>
      <w:r>
        <w:tab/>
        <w:t>Wykonawca przystępujący do wykonania robót ziemnych powinien wykazać się możliwością korzystania z następującego sprzętu do: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odspajania i wydobywania gruntów (narzędzia mechaniczne, młoty pneumatyczne, zrywarki, koparki, ładowarki, wiertarki mechaniczne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jednoczesnego wydobywania i przemieszczania gruntów (spycharki, zgarniarki, równiarki, urządzenia do hydromechanizacji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transportu mas ziemnych (samochody wywrotki, samochody skrzyniowe, taśmociągi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sprzętu zagęszczającego (walce, ubijaki, płyty wibracyjne itp.).</w:t>
      </w:r>
    </w:p>
    <w:p w:rsidR="003B7E7D" w:rsidRDefault="003B7E7D">
      <w:pPr>
        <w:pStyle w:val="Standardowytekst"/>
      </w:pPr>
    </w:p>
    <w:p w:rsidR="003B7E7D" w:rsidRDefault="003B7E7D">
      <w:pPr>
        <w:rPr>
          <w:b/>
        </w:rPr>
      </w:pPr>
      <w:r>
        <w:rPr>
          <w:b/>
        </w:rPr>
        <w:t xml:space="preserve">3.3. Sprzęt do przenoszenia i układania </w:t>
      </w:r>
      <w:proofErr w:type="spellStart"/>
      <w:r>
        <w:rPr>
          <w:b/>
        </w:rPr>
        <w:t>geosyntetyków</w:t>
      </w:r>
      <w:proofErr w:type="spellEnd"/>
    </w:p>
    <w:p w:rsidR="003B7E7D" w:rsidRDefault="003B7E7D"/>
    <w:p w:rsidR="003B7E7D" w:rsidRDefault="003B7E7D">
      <w:pPr>
        <w:ind w:firstLine="709"/>
      </w:pPr>
      <w:r>
        <w:lastRenderedPageBreak/>
        <w:t xml:space="preserve">Do przenoszenia i układania </w:t>
      </w:r>
      <w:proofErr w:type="spellStart"/>
      <w:r>
        <w:t>geosyntetyków</w:t>
      </w:r>
      <w:proofErr w:type="spellEnd"/>
      <w:r>
        <w:t xml:space="preserve"> Wykonawca powinien używać odpowiedniego sprzętu zalecanego przez producenta. Wykonawca nie powinien stosować sprzętu mogącego spowodować uszkodzenie układanego materiału.</w:t>
      </w:r>
    </w:p>
    <w:p w:rsidR="003B7E7D" w:rsidRDefault="003B7E7D">
      <w:pPr>
        <w:pStyle w:val="Nagwek1"/>
        <w:spacing w:before="240"/>
      </w:pPr>
      <w:bookmarkStart w:id="40" w:name="_Toc405615043"/>
      <w:bookmarkStart w:id="41" w:name="_Toc407161191"/>
      <w:bookmarkStart w:id="42" w:name="_Toc418996325"/>
      <w:bookmarkStart w:id="43" w:name="_Toc418996694"/>
      <w:bookmarkStart w:id="44" w:name="_Toc418997081"/>
      <w:bookmarkStart w:id="45" w:name="_Toc418998491"/>
      <w:bookmarkStart w:id="46" w:name="_Toc418998847"/>
      <w:bookmarkStart w:id="47" w:name="_Toc419000092"/>
      <w:r>
        <w:t>4. transport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3B7E7D" w:rsidRDefault="003B7E7D">
      <w:pPr>
        <w:pStyle w:val="Nagwek2"/>
      </w:pPr>
      <w:bookmarkStart w:id="48" w:name="_Toc405615044"/>
      <w:bookmarkStart w:id="49" w:name="_Toc407161192"/>
      <w:r>
        <w:t>4.1. Ogólne wymagania dotyczące transportu</w:t>
      </w:r>
      <w:bookmarkEnd w:id="48"/>
      <w:bookmarkEnd w:id="49"/>
    </w:p>
    <w:p w:rsidR="003B7E7D" w:rsidRDefault="003B7E7D">
      <w:pPr>
        <w:pStyle w:val="Standardowytekst"/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B7E7D" w:rsidRDefault="003B7E7D">
      <w:pPr>
        <w:pStyle w:val="Nagwek2"/>
      </w:pPr>
      <w:bookmarkStart w:id="50" w:name="_Toc405615045"/>
      <w:bookmarkStart w:id="51" w:name="_Toc407161193"/>
      <w:r>
        <w:t>4.2. Transport gruntów</w:t>
      </w:r>
      <w:bookmarkEnd w:id="50"/>
      <w:bookmarkEnd w:id="51"/>
    </w:p>
    <w:p w:rsidR="003B7E7D" w:rsidRDefault="003B7E7D">
      <w:pPr>
        <w:pStyle w:val="Standardowytekst"/>
      </w:pPr>
      <w:r>
        <w:tab/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3B7E7D" w:rsidRDefault="003B7E7D">
      <w:pPr>
        <w:pStyle w:val="Standardowytekst"/>
        <w:spacing w:after="120"/>
      </w:pPr>
      <w: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3B7E7D" w:rsidRDefault="003B7E7D">
      <w:pPr>
        <w:rPr>
          <w:b/>
        </w:rPr>
      </w:pPr>
      <w:r>
        <w:rPr>
          <w:b/>
        </w:rPr>
        <w:t xml:space="preserve">4.3. Transport i składowanie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spacing w:before="120"/>
        <w:ind w:firstLine="709"/>
      </w:pPr>
      <w:r>
        <w:t xml:space="preserve">Wykonawca powinien zadbać, aby transport, przenoszenie, przechowywanie i zabezpieczanie </w:t>
      </w:r>
      <w:proofErr w:type="spellStart"/>
      <w:r>
        <w:t>geosyntetyków</w:t>
      </w:r>
      <w:proofErr w:type="spellEnd"/>
      <w:r>
        <w:t xml:space="preserve"> były wykonywane w sposób nie powodujący mechanicznych lub chemicznych ich uszkodzeń. </w:t>
      </w:r>
      <w:proofErr w:type="spellStart"/>
      <w:r>
        <w:t>Geosyntetyki</w:t>
      </w:r>
      <w:proofErr w:type="spellEnd"/>
      <w:r>
        <w:t xml:space="preserve"> wrażliwe na światło słoneczne powinny pozostawać zakryte w czasie od ich wyprodukowania do wbudowania. </w:t>
      </w:r>
    </w:p>
    <w:p w:rsidR="003B7E7D" w:rsidRDefault="003B7E7D"/>
    <w:p w:rsidR="003B7E7D" w:rsidRDefault="003B7E7D">
      <w:pPr>
        <w:pStyle w:val="Standardowytekst"/>
        <w:spacing w:after="120"/>
      </w:pPr>
    </w:p>
    <w:p w:rsidR="003B7E7D" w:rsidRDefault="003B7E7D">
      <w:pPr>
        <w:pStyle w:val="Nagwek1"/>
      </w:pPr>
      <w:bookmarkStart w:id="52" w:name="_Toc405615046"/>
      <w:bookmarkStart w:id="53" w:name="_Toc407161194"/>
      <w:bookmarkStart w:id="54" w:name="_Toc418996326"/>
      <w:bookmarkStart w:id="55" w:name="_Toc418996695"/>
      <w:bookmarkStart w:id="56" w:name="_Toc418997082"/>
      <w:bookmarkStart w:id="57" w:name="_Toc418998492"/>
      <w:bookmarkStart w:id="58" w:name="_Toc418998848"/>
      <w:bookmarkStart w:id="59" w:name="_Toc419000093"/>
      <w:r>
        <w:t>5. wykonanie robót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3B7E7D" w:rsidRDefault="003B7E7D">
      <w:pPr>
        <w:pStyle w:val="Nagwek2"/>
      </w:pPr>
      <w:bookmarkStart w:id="60" w:name="_Toc405615047"/>
      <w:bookmarkStart w:id="61" w:name="_Toc407161195"/>
      <w:r>
        <w:t>5.1. Ogólne zasady wykonania robót</w:t>
      </w:r>
      <w:bookmarkEnd w:id="60"/>
      <w:bookmarkEnd w:id="61"/>
    </w:p>
    <w:p w:rsidR="003B7E7D" w:rsidRDefault="003B7E7D">
      <w:pPr>
        <w:pStyle w:val="Standardowytekst"/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B7E7D" w:rsidRDefault="003B7E7D">
      <w:pPr>
        <w:pStyle w:val="Nagwek2"/>
      </w:pPr>
      <w:bookmarkStart w:id="62" w:name="_Toc405615048"/>
      <w:bookmarkStart w:id="63" w:name="_Toc407161196"/>
      <w:r>
        <w:t>5.2. Dokładność wykonania wykopów i nasypów</w:t>
      </w:r>
      <w:bookmarkEnd w:id="62"/>
      <w:bookmarkEnd w:id="63"/>
    </w:p>
    <w:p w:rsidR="003B7E7D" w:rsidRDefault="003B7E7D">
      <w:pPr>
        <w:pStyle w:val="Standardowytekst"/>
      </w:pPr>
      <w:r>
        <w:tab/>
        <w:t xml:space="preserve">Odchylenie osi korpusu ziemnego, w wykopie lub nasypie, od osi projektowanej nie powinny być większe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 xml:space="preserve">. Różnica w stosunku do projektowanych rzędnych robót ziemnych nie może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3 cm"/>
        </w:smartTagPr>
        <w:r>
          <w:t xml:space="preserve">-3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</w:pPr>
      <w:r>
        <w:tab/>
        <w:t xml:space="preserve">Szerokość górnej powierzchni korpusu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a krawędzie korony drogi nie powinny mieć wyraźnych załamań w planie.</w:t>
      </w:r>
    </w:p>
    <w:p w:rsidR="003B7E7D" w:rsidRDefault="003B7E7D">
      <w:pPr>
        <w:pStyle w:val="Standardowytekst"/>
      </w:pPr>
      <w:r>
        <w:tab/>
        <w:t xml:space="preserve">Pochylenie skarp nie powinno różnić się od projektowanego o więcej niż 10% jego wartości wyrażonej tangensem kąta. Maksymalne nierówności na powierzchni skarp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przy pomiarze łatą 3-metrową, albo powinny być spełnione inne wymagania dotyczące nierówności, wynikające ze sposobu umocnienia powierzchni skarpy.</w:t>
      </w:r>
    </w:p>
    <w:p w:rsidR="003B7E7D" w:rsidRDefault="003B7E7D">
      <w:pPr>
        <w:pStyle w:val="Standardowytekst"/>
        <w:spacing w:after="120"/>
      </w:pPr>
      <w:r>
        <w:tab/>
        <w:t>W gruntach skalistych wymagania, dotyczące równości powierzchni dna wykopu oraz pochylenia i równości skarp, powinny być określone w dokumentacji projektowej i SST.</w:t>
      </w:r>
    </w:p>
    <w:p w:rsidR="003B7E7D" w:rsidRDefault="003B7E7D">
      <w:pPr>
        <w:pStyle w:val="Nagwek2"/>
      </w:pPr>
      <w:bookmarkStart w:id="64" w:name="_Toc405615049"/>
      <w:bookmarkStart w:id="65" w:name="_Toc407161197"/>
      <w:r>
        <w:t>5.3. Odwodnienia pasa robót ziemnych</w:t>
      </w:r>
      <w:bookmarkEnd w:id="64"/>
      <w:bookmarkEnd w:id="65"/>
    </w:p>
    <w:p w:rsidR="003B7E7D" w:rsidRDefault="003B7E7D">
      <w:pPr>
        <w:pStyle w:val="Standardowytekst"/>
      </w:pPr>
      <w: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t>przewilgoceniem</w:t>
      </w:r>
      <w:proofErr w:type="spellEnd"/>
      <w: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3B7E7D" w:rsidRDefault="003B7E7D">
      <w:pPr>
        <w:pStyle w:val="Standardowytekst"/>
      </w:pPr>
      <w: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3B7E7D" w:rsidRDefault="003B7E7D">
      <w:pPr>
        <w:pStyle w:val="Standardowytekst"/>
      </w:pPr>
      <w:r>
        <w:tab/>
        <w:t>Odprowadzenie wód do istniejących zbiorników naturalnych i urządzeń odwadniających musi być poprzedzone uzgodnieniem z odpowiednimi instytucjami.</w:t>
      </w:r>
    </w:p>
    <w:p w:rsidR="003B7E7D" w:rsidRDefault="003B7E7D">
      <w:pPr>
        <w:pStyle w:val="Nagwek2"/>
      </w:pPr>
      <w:bookmarkStart w:id="66" w:name="_Toc405615050"/>
      <w:bookmarkStart w:id="67" w:name="_Toc407161198"/>
      <w:r>
        <w:lastRenderedPageBreak/>
        <w:t>5.4. Odwodnienie wykopów</w:t>
      </w:r>
      <w:bookmarkEnd w:id="66"/>
      <w:bookmarkEnd w:id="67"/>
    </w:p>
    <w:p w:rsidR="003B7E7D" w:rsidRDefault="003B7E7D">
      <w:pPr>
        <w:pStyle w:val="Standardowytekst"/>
      </w:pPr>
      <w:r>
        <w:tab/>
        <w:t>Technologia wykonania wykopu musi umożliwiać jego prawidłowe odwodnienie w całym okresie trwania robót ziemnych. Wykonanie wykopów powinno postępować w kierunku podnoszenia się niwelety.</w:t>
      </w:r>
    </w:p>
    <w:p w:rsidR="003B7E7D" w:rsidRDefault="003B7E7D">
      <w:pPr>
        <w:pStyle w:val="Standardowytekst"/>
      </w:pPr>
      <w:r>
        <w:tab/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3B7E7D" w:rsidRDefault="003B7E7D">
      <w:pPr>
        <w:pStyle w:val="Standardowytekst"/>
      </w:pPr>
      <w:r>
        <w:tab/>
        <w:t>Źródła wody, odsłonięte przy wykonywaniu wykopów, należy ująć w rowy i /lub dreny. Wody opadowe i gruntowe należy odprowadzić poza teren pasa robót ziemnych.</w:t>
      </w:r>
    </w:p>
    <w:p w:rsidR="003B7E7D" w:rsidRDefault="003B7E7D">
      <w:pPr>
        <w:pStyle w:val="Nagwek2"/>
      </w:pPr>
      <w:bookmarkStart w:id="68" w:name="_Toc405615051"/>
      <w:bookmarkStart w:id="69" w:name="_Toc407161199"/>
      <w:r>
        <w:t>5.5. Rowy</w:t>
      </w:r>
      <w:bookmarkEnd w:id="68"/>
      <w:bookmarkEnd w:id="69"/>
    </w:p>
    <w:p w:rsidR="003B7E7D" w:rsidRDefault="003B7E7D">
      <w:pPr>
        <w:pStyle w:val="Standardowytekst"/>
        <w:spacing w:after="120"/>
      </w:pPr>
      <w:r>
        <w:tab/>
        <w:t xml:space="preserve">Rowy boczne oraz rowy stokowe powinny być wykonane zgodnie z dokumentacją projektową i SST. Szerokość dna i głębokość rowu nie mogą różnić się od wymiarów projektowanych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Dokładność wykonania skarp rowów powinna być zgodna z określoną dla skarp wykopów w SST D-02.01.01.</w:t>
      </w: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5.6. Układanie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proofErr w:type="spellStart"/>
      <w:r>
        <w:t>Geosyntetyki</w:t>
      </w:r>
      <w:proofErr w:type="spellEnd"/>
      <w:r>
        <w:t xml:space="preserve"> należy układać łącząc je na zakład zgodnie z dokumentacją projektową i SST. Jeżeli dokumentacja projektowa i SST nie podają inaczej, przylegające do siebie arkusze lub pasy </w:t>
      </w:r>
      <w:proofErr w:type="spellStart"/>
      <w:r>
        <w:t>geosyntetyków</w:t>
      </w:r>
      <w:proofErr w:type="spellEnd"/>
      <w:r>
        <w:t xml:space="preserve"> należy układać z zakładem (i kotwieniem) zgodnie z instrukcją producenta lub decyzją projektanta.</w:t>
      </w:r>
    </w:p>
    <w:p w:rsidR="003B7E7D" w:rsidRDefault="003B7E7D">
      <w:pPr>
        <w:ind w:firstLine="709"/>
      </w:pPr>
      <w:r>
        <w:t xml:space="preserve">W przypadku uszkodzenia </w:t>
      </w:r>
      <w:proofErr w:type="spellStart"/>
      <w:r>
        <w:t>geosyntetyku</w:t>
      </w:r>
      <w:proofErr w:type="spellEnd"/>
      <w:r>
        <w:t xml:space="preserve">, należy w uzgodnieniu z Inżynierem, przykryć to uszkodzenie pasami </w:t>
      </w:r>
      <w:proofErr w:type="spellStart"/>
      <w:r>
        <w:t>geosyntetyku</w:t>
      </w:r>
      <w:proofErr w:type="spellEnd"/>
      <w:r>
        <w:t xml:space="preserve"> na długości i szerokości większej o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od obszaru uszkodzonego.</w:t>
      </w:r>
    </w:p>
    <w:p w:rsidR="003B7E7D" w:rsidRDefault="003B7E7D">
      <w:pPr>
        <w:ind w:firstLine="709"/>
      </w:pPr>
      <w:r>
        <w:t xml:space="preserve">Warstwa gruntu, na której przewiduje się ułożenie </w:t>
      </w:r>
      <w:proofErr w:type="spellStart"/>
      <w:r>
        <w:t>geosyntetyku</w:t>
      </w:r>
      <w:proofErr w:type="spellEnd"/>
      <w:r>
        <w:t xml:space="preserve"> powinna być równa i bez ostrych występów, mogących spowodować uszkodzenie </w:t>
      </w:r>
      <w:proofErr w:type="spellStart"/>
      <w:r>
        <w:t>geosyntetyku</w:t>
      </w:r>
      <w:proofErr w:type="spellEnd"/>
      <w:r>
        <w:t xml:space="preserve"> w czasie układania lub pracy. Metoda układania powinna zapewnić przyleganie </w:t>
      </w:r>
      <w:proofErr w:type="spellStart"/>
      <w:r>
        <w:t>geosyntetyku</w:t>
      </w:r>
      <w:proofErr w:type="spellEnd"/>
      <w:r>
        <w:t xml:space="preserve"> do warstwy, na której jest układana, na całej jej powierzchni. </w:t>
      </w:r>
      <w:proofErr w:type="spellStart"/>
      <w:r>
        <w:t>Geosyntetyków</w:t>
      </w:r>
      <w:proofErr w:type="spellEnd"/>
      <w:r>
        <w:t xml:space="preserve"> nie należy naciągać lub powodować ich zawieszenia na wzgórkach (garbach) lub nad dołami. Nie dopuszcza się ruchu maszyn budowlanych bezpośrednio na ułożonych </w:t>
      </w:r>
      <w:proofErr w:type="spellStart"/>
      <w:r>
        <w:t>geosyntetykach</w:t>
      </w:r>
      <w:proofErr w:type="spellEnd"/>
      <w:r>
        <w:t>. Należy je przykryć gruntem nasypowym niezwłocznie po ułożeniu.</w:t>
      </w:r>
    </w:p>
    <w:p w:rsidR="003B7E7D" w:rsidRDefault="003B7E7D">
      <w:pPr>
        <w:pStyle w:val="Nagwek1"/>
        <w:spacing w:before="240"/>
      </w:pPr>
      <w:bookmarkStart w:id="70" w:name="_Toc405615052"/>
      <w:bookmarkStart w:id="71" w:name="_Toc407161200"/>
      <w:bookmarkStart w:id="72" w:name="_Toc418996327"/>
      <w:bookmarkStart w:id="73" w:name="_Toc418996696"/>
      <w:bookmarkStart w:id="74" w:name="_Toc418997083"/>
      <w:bookmarkStart w:id="75" w:name="_Toc418998493"/>
      <w:bookmarkStart w:id="76" w:name="_Toc418998849"/>
      <w:bookmarkStart w:id="77" w:name="_Toc419000094"/>
      <w:r>
        <w:t>6. kontrola jakości robót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3B7E7D" w:rsidRDefault="003B7E7D">
      <w:pPr>
        <w:pStyle w:val="Nagwek2"/>
      </w:pPr>
      <w:bookmarkStart w:id="78" w:name="_Toc405615053"/>
      <w:bookmarkStart w:id="79" w:name="_Toc407161201"/>
      <w:r>
        <w:t>6.1. Ogólne zasady kontroli jakości robót</w:t>
      </w:r>
      <w:bookmarkEnd w:id="78"/>
      <w:bookmarkEnd w:id="79"/>
    </w:p>
    <w:p w:rsidR="003B7E7D" w:rsidRDefault="003B7E7D">
      <w:pPr>
        <w:pStyle w:val="Standardowytekst"/>
      </w:pPr>
      <w:r>
        <w:t xml:space="preserve">         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B7E7D" w:rsidRDefault="003B7E7D">
      <w:pPr>
        <w:pStyle w:val="Nagwek2"/>
      </w:pPr>
      <w:bookmarkStart w:id="80" w:name="_Toc405615054"/>
      <w:bookmarkStart w:id="81" w:name="_Toc407161202"/>
      <w:r>
        <w:t>6.2. Badania i pomiary w czasie wykonywania robót ziemnych</w:t>
      </w:r>
      <w:bookmarkEnd w:id="80"/>
      <w:bookmarkEnd w:id="81"/>
    </w:p>
    <w:p w:rsidR="003B7E7D" w:rsidRDefault="003B7E7D">
      <w:pPr>
        <w:pStyle w:val="Standardowytekst"/>
        <w:keepNext/>
      </w:pPr>
      <w:r>
        <w:rPr>
          <w:b/>
        </w:rPr>
        <w:t xml:space="preserve">6.2.1. </w:t>
      </w:r>
      <w:r>
        <w:t>Sprawdzenie odwodnienia</w:t>
      </w:r>
    </w:p>
    <w:p w:rsidR="003B7E7D" w:rsidRDefault="003B7E7D">
      <w:pPr>
        <w:pStyle w:val="Standardowytekst"/>
      </w:pPr>
      <w:r>
        <w:tab/>
        <w:t xml:space="preserve">Sprawdzenie odwodnienia korpusu ziemnego polega na kontroli zgodności z wymaganiami specyfikacji określonymi w </w:t>
      </w:r>
      <w:proofErr w:type="spellStart"/>
      <w:r>
        <w:t>pkcie</w:t>
      </w:r>
      <w:proofErr w:type="spellEnd"/>
      <w:r>
        <w:t xml:space="preserve"> 5 oraz z dokumentacją projektową.</w:t>
      </w:r>
    </w:p>
    <w:p w:rsidR="003B7E7D" w:rsidRDefault="003B7E7D">
      <w:pPr>
        <w:pStyle w:val="Standardowytekst"/>
      </w:pPr>
      <w:r>
        <w:tab/>
        <w:t>Szczególną uwagę należy zwrócić na:</w:t>
      </w:r>
    </w:p>
    <w:p w:rsidR="003B7E7D" w:rsidRDefault="003B7E7D">
      <w:pPr>
        <w:pStyle w:val="Standardowytekst"/>
      </w:pPr>
      <w:r>
        <w:t>- właściwe ujęcie i odprowadzenie wód opadowych,</w:t>
      </w:r>
    </w:p>
    <w:p w:rsidR="003B7E7D" w:rsidRDefault="003B7E7D">
      <w:pPr>
        <w:pStyle w:val="Standardowytekst"/>
      </w:pPr>
      <w:r>
        <w:t>- właściwe ujęcie i odprowadzenie wysięków wodnych.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6.2.2. </w:t>
      </w:r>
      <w:r>
        <w:t>Sprawdzenie jakości wykonania robót</w:t>
      </w:r>
    </w:p>
    <w:p w:rsidR="003B7E7D" w:rsidRDefault="003B7E7D">
      <w:pPr>
        <w:pStyle w:val="Standardowytekst"/>
      </w:pPr>
      <w:r>
        <w:tab/>
        <w:t xml:space="preserve">Czynności wchodzące w zakres sprawdzenia jakości wykonania robót określono w </w:t>
      </w:r>
      <w:proofErr w:type="spellStart"/>
      <w:r>
        <w:t>pkcie</w:t>
      </w:r>
      <w:proofErr w:type="spellEnd"/>
      <w:r>
        <w:t xml:space="preserve"> 6 SST D-02.01.01, D-02.02.01 oraz D-02.03.01.</w:t>
      </w:r>
    </w:p>
    <w:p w:rsidR="003B7E7D" w:rsidRDefault="003B7E7D">
      <w:pPr>
        <w:pStyle w:val="Nagwek2"/>
      </w:pPr>
      <w:bookmarkStart w:id="82" w:name="_Toc405615055"/>
      <w:bookmarkStart w:id="83" w:name="_Toc407161203"/>
      <w:r>
        <w:t>6.3. Badania do odbioru korpusu ziemnego</w:t>
      </w:r>
      <w:bookmarkEnd w:id="82"/>
      <w:bookmarkEnd w:id="83"/>
    </w:p>
    <w:p w:rsidR="003B7E7D" w:rsidRDefault="003B7E7D">
      <w:pPr>
        <w:pStyle w:val="Standardowytekst"/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3B7E7D" w:rsidRDefault="003B7E7D">
      <w:pPr>
        <w:pStyle w:val="Standardowytekst"/>
      </w:pPr>
      <w:r>
        <w:tab/>
        <w:t>Częstotliwość oraz zakres badań i pomiarów do odbioru korpusu ziemnego podaje tablica 2.</w:t>
      </w:r>
    </w:p>
    <w:p w:rsidR="003B7E7D" w:rsidRDefault="003B7E7D">
      <w:pPr>
        <w:pStyle w:val="Standardowytekst"/>
        <w:spacing w:before="120" w:after="120"/>
      </w:pPr>
      <w:r>
        <w:t>Tablica 2. Częstotliwość oraz zakres badań i pomiarów wykonanych robót 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14"/>
      </w:tblGrid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Lp.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Badana cecha</w:t>
            </w:r>
          </w:p>
        </w:tc>
        <w:tc>
          <w:tcPr>
            <w:tcW w:w="45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Minimalna częstotliwość badań i pomiarów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lastRenderedPageBreak/>
              <w:t>1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taśmą, szablonem, łatą o długości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i poziomicą lub niwelatorem,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na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dna rowów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prostych, w punktach głównych łuku, 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na łukach o R </w:t>
            </w:r>
            <w:r>
              <w:sym w:font="Symbol" w:char="F0B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co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 xml:space="preserve"> na łukach o R </w:t>
            </w:r>
            <w:r>
              <w:sym w:font="Symbol" w:char="F03C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rzędnych powierzchni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oraz w miejscach, które budzą wątpliwości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pochylenia skarp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równości powierzchni korpusu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równości skarp</w:t>
            </w:r>
          </w:p>
        </w:tc>
        <w:tc>
          <w:tcPr>
            <w:tcW w:w="4514" w:type="dxa"/>
            <w:tcBorders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7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spadku podłużnego powierzchni korpusu lub dna rowu</w:t>
            </w:r>
          </w:p>
        </w:tc>
        <w:tc>
          <w:tcPr>
            <w:tcW w:w="4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niwelatorem rzędnych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oraz w punktach wątpliwych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Badanie zagęszczenia gruntu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Wskaźnik zagęszczenia określać dla każdej ułożonej warstwy lecz nie rzadziej niż w trzech punktach na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t>1000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warstwy</w:t>
            </w:r>
          </w:p>
        </w:tc>
      </w:tr>
    </w:tbl>
    <w:p w:rsidR="003B7E7D" w:rsidRDefault="003B7E7D">
      <w:pPr>
        <w:pStyle w:val="Standardowytekst"/>
      </w:pP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6.3.2. </w:t>
      </w:r>
      <w:r>
        <w:t>Szerokość korpusu ziemnego</w:t>
      </w:r>
    </w:p>
    <w:p w:rsidR="003B7E7D" w:rsidRDefault="003B7E7D">
      <w:pPr>
        <w:pStyle w:val="Standardowytekst"/>
      </w:pPr>
      <w:r>
        <w:tab/>
        <w:t xml:space="preserve">Szerokość korpusu ziemnego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before="120" w:after="120"/>
      </w:pPr>
      <w:r>
        <w:rPr>
          <w:b/>
        </w:rPr>
        <w:t xml:space="preserve">6.3.3. </w:t>
      </w:r>
      <w:r>
        <w:t>Szerokość dna rowów</w:t>
      </w:r>
    </w:p>
    <w:p w:rsidR="003B7E7D" w:rsidRDefault="003B7E7D">
      <w:pPr>
        <w:pStyle w:val="Standardowytekst"/>
        <w:spacing w:after="120"/>
      </w:pPr>
      <w:r>
        <w:tab/>
        <w:t xml:space="preserve">Szerokość dna rowów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after="120"/>
      </w:pPr>
      <w:r>
        <w:rPr>
          <w:b/>
        </w:rPr>
        <w:t xml:space="preserve">6.3.4. </w:t>
      </w:r>
      <w:r>
        <w:t>Rzędne korony korpusu ziemnego</w:t>
      </w:r>
    </w:p>
    <w:p w:rsidR="003B7E7D" w:rsidRDefault="003B7E7D">
      <w:pPr>
        <w:pStyle w:val="Standardowytekst"/>
      </w:pPr>
      <w:r>
        <w:tab/>
        <w:t xml:space="preserve">Rzędne korony korpusu ziemnego nie mogą różnić się od rzędnych projektowanych o więcej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6.3.5. </w:t>
      </w:r>
      <w:r>
        <w:t>Pochylenie skarp</w:t>
      </w:r>
    </w:p>
    <w:p w:rsidR="003B7E7D" w:rsidRDefault="003B7E7D">
      <w:pPr>
        <w:pStyle w:val="Standardowytekst"/>
      </w:pPr>
      <w:r>
        <w:tab/>
        <w:t>Pochylenie skarp nie może różnić się od pochylenia projektowanego o więcej niż 10% wartości pochylenia wyrażonego tangensem kąta.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6.3.6. </w:t>
      </w:r>
      <w:r>
        <w:t>Równość korony korpusu</w:t>
      </w:r>
    </w:p>
    <w:p w:rsidR="003B7E7D" w:rsidRDefault="003B7E7D">
      <w:pPr>
        <w:pStyle w:val="Standardowytekst"/>
      </w:pPr>
      <w:r>
        <w:tab/>
        <w:t xml:space="preserve">Nierówności powierzchni korpusu ziemnego mierzone łatą 3-metrową, nie mogą przekraczać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6.3.7. </w:t>
      </w:r>
      <w:r>
        <w:t>Równość skarp</w:t>
      </w:r>
    </w:p>
    <w:p w:rsidR="003B7E7D" w:rsidRDefault="003B7E7D">
      <w:pPr>
        <w:pStyle w:val="Standardowytekst"/>
      </w:pPr>
      <w:r>
        <w:tab/>
        <w:t xml:space="preserve">Nierówności skarp, mierzone łatą 3-metrową,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6.3.8. </w:t>
      </w:r>
      <w:r>
        <w:t>Spadek podłużny korony korpusu lub dna rowu</w:t>
      </w:r>
    </w:p>
    <w:p w:rsidR="003B7E7D" w:rsidRDefault="003B7E7D">
      <w:pPr>
        <w:pStyle w:val="Standardowytekst"/>
      </w:pPr>
      <w:r>
        <w:tab/>
        <w:t xml:space="preserve">Spadek podłużny powierzchni korpusu ziemnego lub dna rowu, sprawdzony przez pomiar niwelatorem rzędnych wysokościowych, nie może dawać różnic, w stosunku do rzędnych projektowanych, większych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6.3.9. </w:t>
      </w:r>
      <w:r>
        <w:t>Zagęszczenie gruntu</w:t>
      </w:r>
    </w:p>
    <w:p w:rsidR="003B7E7D" w:rsidRDefault="003B7E7D">
      <w:pPr>
        <w:pStyle w:val="Standardowytekst"/>
      </w:pPr>
      <w:r>
        <w:tab/>
        <w:t>Wskaźnik zagęszczenia gruntu określony zgodnie z BN-77/8931-12 [9] powinien być zgodny z założonym dla odpowiedniej kategorii ruchu. W przypadku gruntów dla których nie można określić wskaźnika zagęszczenia należy określić wskaźnik odkształcenia I</w:t>
      </w:r>
      <w:r>
        <w:rPr>
          <w:vertAlign w:val="subscript"/>
        </w:rPr>
        <w:t>0</w:t>
      </w:r>
      <w:r>
        <w:t>, zgodnie z normą PN-S-02205:1998 [4].</w:t>
      </w:r>
    </w:p>
    <w:p w:rsidR="003B7E7D" w:rsidRDefault="003B7E7D">
      <w:pPr>
        <w:pStyle w:val="Standardowytekst"/>
        <w:spacing w:after="120"/>
        <w:rPr>
          <w:b/>
        </w:rPr>
      </w:pP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6.4. Badania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r>
        <w:t xml:space="preserve">Przed zastosowaniem </w:t>
      </w:r>
      <w:proofErr w:type="spellStart"/>
      <w:r>
        <w:t>geosyntetyków</w:t>
      </w:r>
      <w:proofErr w:type="spellEnd"/>
      <w:r>
        <w:t xml:space="preserve"> w robotach ziemnych, Wykonawca powinien przedstawić Inżynierowi świadectwa stwierdzające, iż zastosowany </w:t>
      </w:r>
      <w:proofErr w:type="spellStart"/>
      <w:r>
        <w:t>geosyntetyk</w:t>
      </w:r>
      <w:proofErr w:type="spellEnd"/>
      <w:r>
        <w:t xml:space="preserve"> odpowiada wymaganiom norm, aprobaty technicznej i zachowa swoje właściwości w kontakcie z materiałami, które będzie oddzielać lub wzmacniać przez okres czasu nie krótszy od podanego w dokumentacji projektowej i SST.</w:t>
      </w:r>
    </w:p>
    <w:p w:rsidR="003B7E7D" w:rsidRDefault="003B7E7D">
      <w:pPr>
        <w:pStyle w:val="Standardowytekst"/>
      </w:pPr>
    </w:p>
    <w:p w:rsidR="003B7E7D" w:rsidRDefault="003B7E7D">
      <w:pPr>
        <w:pStyle w:val="Nagwek2"/>
      </w:pPr>
      <w:bookmarkStart w:id="84" w:name="_Toc405615056"/>
      <w:bookmarkStart w:id="85" w:name="_Toc407161204"/>
      <w:r>
        <w:t>6.5. Zasady postępowania z wadliwie wykonanymi robotami</w:t>
      </w:r>
      <w:bookmarkEnd w:id="84"/>
      <w:bookmarkEnd w:id="85"/>
    </w:p>
    <w:p w:rsidR="003B7E7D" w:rsidRDefault="003B7E7D">
      <w:pPr>
        <w:pStyle w:val="Standardowytekst"/>
      </w:pPr>
      <w:r>
        <w:tab/>
        <w:t>Wszystkie materiały nie spełniające wymagań podanych w odpowiednich punktach specyfikacji, zostaną odrzucone. Jeśli materiały nie spełniające wymagań zostaną wbudowane lub zastosowane, to na polecenie Inżyniera Wykonawca wymieni je na właściwe, na własny koszt.</w:t>
      </w:r>
    </w:p>
    <w:p w:rsidR="003B7E7D" w:rsidRDefault="003B7E7D">
      <w:pPr>
        <w:pStyle w:val="Standardowytekst"/>
      </w:pPr>
      <w:r>
        <w:tab/>
        <w:t>Wszystkie roboty, które wykazują większe odchylenia cech od określonych w punktach 5 i 6 specyfikacji powinny być ponownie wykonane przez Wykonawcę na jego koszt.</w:t>
      </w:r>
    </w:p>
    <w:p w:rsidR="003B7E7D" w:rsidRDefault="003B7E7D">
      <w:pPr>
        <w:pStyle w:val="Standardowytekst"/>
        <w:spacing w:after="120"/>
      </w:pPr>
      <w:r>
        <w:tab/>
        <w:t>Na pisemne wystąpienie Wykonawcy, Inżynier może uznać wadę za nie mającą zasadniczego wpływu na cechy eksploatacyjne drogi i ustali zakres i wielkość potrąceń za obniżoną jakość.</w:t>
      </w:r>
    </w:p>
    <w:p w:rsidR="003B7E7D" w:rsidRDefault="003B7E7D">
      <w:pPr>
        <w:pStyle w:val="Nagwek1"/>
      </w:pPr>
      <w:bookmarkStart w:id="86" w:name="_Toc405615057"/>
      <w:bookmarkStart w:id="87" w:name="_Toc407161205"/>
      <w:bookmarkStart w:id="88" w:name="_Toc418996328"/>
      <w:bookmarkStart w:id="89" w:name="_Toc418996697"/>
      <w:bookmarkStart w:id="90" w:name="_Toc418997084"/>
      <w:bookmarkStart w:id="91" w:name="_Toc418998494"/>
      <w:bookmarkStart w:id="92" w:name="_Toc418998850"/>
      <w:bookmarkStart w:id="93" w:name="_Toc419000095"/>
      <w:r>
        <w:t>7. obmiar robót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3B7E7D" w:rsidRDefault="003B7E7D">
      <w:pPr>
        <w:pStyle w:val="Nagwek2"/>
      </w:pPr>
      <w:bookmarkStart w:id="94" w:name="_Toc405615058"/>
      <w:bookmarkStart w:id="95" w:name="_Toc407161206"/>
      <w:r>
        <w:t>7.1. Ogólne zasady obmiaru robót</w:t>
      </w:r>
      <w:bookmarkEnd w:id="94"/>
      <w:bookmarkEnd w:id="95"/>
    </w:p>
    <w:p w:rsidR="003B7E7D" w:rsidRDefault="003B7E7D">
      <w:pPr>
        <w:pStyle w:val="Standardowytekst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B7E7D" w:rsidRDefault="003B7E7D">
      <w:pPr>
        <w:pStyle w:val="Nagwek2"/>
      </w:pPr>
      <w:bookmarkStart w:id="96" w:name="_Toc405615059"/>
      <w:bookmarkStart w:id="97" w:name="_Toc407161207"/>
      <w:r>
        <w:t>7.2. Obmiar robót ziemnych</w:t>
      </w:r>
      <w:bookmarkEnd w:id="96"/>
      <w:bookmarkEnd w:id="97"/>
    </w:p>
    <w:p w:rsidR="003B7E7D" w:rsidRDefault="003B7E7D">
      <w:pPr>
        <w:pStyle w:val="Standardowytekst"/>
        <w:spacing w:after="120"/>
      </w:pPr>
      <w:r>
        <w:tab/>
        <w:t>Jednostka obmiarową jest m</w:t>
      </w:r>
      <w:r>
        <w:rPr>
          <w:vertAlign w:val="superscript"/>
        </w:rPr>
        <w:t>3</w:t>
      </w:r>
      <w:r>
        <w:t xml:space="preserve"> (metr sześcienny) wykonanych robót ziemnych.</w:t>
      </w:r>
    </w:p>
    <w:p w:rsidR="003B7E7D" w:rsidRDefault="003B7E7D">
      <w:pPr>
        <w:pStyle w:val="Nagwek1"/>
      </w:pPr>
      <w:bookmarkStart w:id="98" w:name="_Toc405615060"/>
      <w:bookmarkStart w:id="99" w:name="_Toc407161208"/>
      <w:bookmarkStart w:id="100" w:name="_Toc418996329"/>
      <w:bookmarkStart w:id="101" w:name="_Toc418996698"/>
      <w:bookmarkStart w:id="102" w:name="_Toc418997085"/>
      <w:bookmarkStart w:id="103" w:name="_Toc418998495"/>
      <w:bookmarkStart w:id="104" w:name="_Toc418998851"/>
      <w:bookmarkStart w:id="105" w:name="_Toc419000096"/>
      <w:r>
        <w:t>8. odbiór robót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B7E7D" w:rsidRDefault="003B7E7D">
      <w:pPr>
        <w:pStyle w:val="Standardowytekst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B7E7D" w:rsidRDefault="003B7E7D">
      <w:pPr>
        <w:pStyle w:val="Standardowytekst"/>
        <w:spacing w:after="120"/>
      </w:pPr>
      <w:r>
        <w:tab/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B7E7D" w:rsidRDefault="003B7E7D">
      <w:pPr>
        <w:pStyle w:val="Nagwek1"/>
      </w:pPr>
      <w:bookmarkStart w:id="106" w:name="_Toc405615061"/>
      <w:bookmarkStart w:id="107" w:name="_Toc407161209"/>
      <w:bookmarkStart w:id="108" w:name="_Toc418996330"/>
      <w:bookmarkStart w:id="109" w:name="_Toc418996699"/>
      <w:bookmarkStart w:id="110" w:name="_Toc418997086"/>
      <w:bookmarkStart w:id="111" w:name="_Toc418998496"/>
      <w:bookmarkStart w:id="112" w:name="_Toc418998852"/>
      <w:bookmarkStart w:id="113" w:name="_Toc419000097"/>
      <w:r>
        <w:t>9. podstawa płatności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3B7E7D" w:rsidRDefault="003B7E7D">
      <w:pPr>
        <w:pStyle w:val="Standardowytekst"/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Standardowytekst"/>
        <w:spacing w:after="120"/>
      </w:pPr>
      <w:r>
        <w:tab/>
        <w:t xml:space="preserve">Zakres czynności objętych ceną jednostkową podano w SST D-02.01.01,                   D-02.02.01 oraz D-02.03.01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Nagwek1"/>
      </w:pPr>
      <w:bookmarkStart w:id="114" w:name="_Toc405615062"/>
      <w:bookmarkStart w:id="115" w:name="_Toc407161210"/>
      <w:bookmarkStart w:id="116" w:name="_Toc418994924"/>
      <w:bookmarkStart w:id="117" w:name="_Toc418996331"/>
      <w:bookmarkStart w:id="118" w:name="_Toc418996700"/>
      <w:bookmarkStart w:id="119" w:name="_Toc418997087"/>
      <w:bookmarkStart w:id="120" w:name="_Toc418998497"/>
      <w:bookmarkStart w:id="121" w:name="_Toc418998853"/>
      <w:bookmarkStart w:id="122" w:name="_Toc419000098"/>
      <w:r>
        <w:t>10. przepisy związane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3B7E7D" w:rsidRDefault="003B7E7D">
      <w:pPr>
        <w:pStyle w:val="Nagwek2"/>
      </w:pPr>
      <w:bookmarkStart w:id="123" w:name="_Toc405615063"/>
      <w:bookmarkStart w:id="124" w:name="_Toc407161211"/>
      <w:r>
        <w:t>10.1. Normy</w:t>
      </w:r>
      <w:bookmarkEnd w:id="123"/>
      <w:bookmarkEnd w:id="1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PN-B-02480:1986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Określenia. Symbole. Podział i opis gruntów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PN-B-04481:1988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Badania próbek gruntów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PN-B-04493:1960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Oznaczanie kapilarności biernej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PN-S-02205:1998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Roboty ziemne. Wymagania i badania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PN-ISO10318:1993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– Terminologia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PN-EN-963:1999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i wyroby pokrewne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7.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BN-64/8931-01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wskaźnika piaskowego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8.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modułu odkształcenia nawierzchni podatnych i podłoża przez obciążenie płytą</w:t>
            </w:r>
          </w:p>
        </w:tc>
      </w:tr>
      <w:tr w:rsidR="003B7E7D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9.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BN-77/8931-12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Oznaczenie wskaźnika zagęszczenia gruntu</w:t>
            </w:r>
          </w:p>
        </w:tc>
      </w:tr>
    </w:tbl>
    <w:p w:rsidR="003B7E7D" w:rsidRDefault="003B7E7D">
      <w:pPr>
        <w:pStyle w:val="Nagwek2"/>
      </w:pPr>
      <w:bookmarkStart w:id="125" w:name="_Toc405615064"/>
      <w:bookmarkStart w:id="126" w:name="_Toc407161212"/>
      <w:r>
        <w:t>10.2. Inne dokumenty</w:t>
      </w:r>
      <w:bookmarkEnd w:id="125"/>
      <w:bookmarkEnd w:id="126"/>
    </w:p>
    <w:p w:rsidR="003B7E7D" w:rsidRDefault="003B7E7D" w:rsidP="00342C6B">
      <w:pPr>
        <w:pStyle w:val="Standardowytekst"/>
        <w:numPr>
          <w:ilvl w:val="0"/>
          <w:numId w:val="6"/>
        </w:numPr>
        <w:tabs>
          <w:tab w:val="left" w:pos="426"/>
        </w:tabs>
      </w:pPr>
      <w:r>
        <w:t xml:space="preserve">Wykonanie i odbiór robót ziemnych dla dróg szybkiego ruchu, </w:t>
      </w:r>
      <w:proofErr w:type="spellStart"/>
      <w:r>
        <w:t>IBDiM</w:t>
      </w:r>
      <w:proofErr w:type="spellEnd"/>
      <w:r>
        <w:t>, Warszawa  1978.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Instrukcja badań podłoża gruntowego budowli drogowych i mostowych, </w:t>
      </w:r>
      <w:proofErr w:type="spellStart"/>
      <w:r>
        <w:t>GDDP,Warszawa</w:t>
      </w:r>
      <w:proofErr w:type="spellEnd"/>
      <w:r>
        <w:t xml:space="preserve"> 1998.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>, Warszawa 1997.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Wytyczne wzmacniania podłoża gruntowego w budownictwie drogowym, </w:t>
      </w:r>
      <w:proofErr w:type="spellStart"/>
      <w:r>
        <w:t>IBDiM</w:t>
      </w:r>
      <w:proofErr w:type="spellEnd"/>
      <w:r>
        <w:t xml:space="preserve">, Warszawa 2002. </w:t>
      </w:r>
    </w:p>
    <w:sectPr w:rsidR="003B7E7D">
      <w:headerReference w:type="even" r:id="rId13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2A" w:rsidRDefault="00553A2A">
      <w:r>
        <w:separator/>
      </w:r>
    </w:p>
  </w:endnote>
  <w:endnote w:type="continuationSeparator" w:id="0">
    <w:p w:rsidR="00553A2A" w:rsidRDefault="0055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2A" w:rsidRDefault="00553A2A">
      <w:r>
        <w:separator/>
      </w:r>
    </w:p>
  </w:footnote>
  <w:footnote w:type="continuationSeparator" w:id="0">
    <w:p w:rsidR="00553A2A" w:rsidRDefault="00553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Default="003B7E7D">
    <w:pPr>
      <w:pStyle w:val="Nagwek"/>
      <w:rPr>
        <w:rFonts w:ascii="Times New Roman" w:hAnsi="Times New Roman"/>
        <w:sz w:val="19"/>
      </w:rPr>
    </w:pPr>
  </w:p>
  <w:p w:rsidR="003B7E7D" w:rsidRDefault="003B7E7D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6B408"/>
    <w:lvl w:ilvl="0">
      <w:numFmt w:val="bullet"/>
      <w:lvlText w:val="*"/>
      <w:lvlJc w:val="left"/>
    </w:lvl>
  </w:abstractNum>
  <w:abstractNum w:abstractNumId="1">
    <w:nsid w:val="24F21583"/>
    <w:multiLevelType w:val="singleLevel"/>
    <w:tmpl w:val="1362DA62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>
    <w:nsid w:val="450E6339"/>
    <w:multiLevelType w:val="singleLevel"/>
    <w:tmpl w:val="B8D07D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C4364ED"/>
    <w:multiLevelType w:val="singleLevel"/>
    <w:tmpl w:val="3BEE671E"/>
    <w:lvl w:ilvl="0">
      <w:start w:val="10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6B"/>
    <w:rsid w:val="00193628"/>
    <w:rsid w:val="00235DCE"/>
    <w:rsid w:val="00342C6B"/>
    <w:rsid w:val="003B7E7D"/>
    <w:rsid w:val="00553A2A"/>
    <w:rsid w:val="006022FC"/>
    <w:rsid w:val="00672033"/>
    <w:rsid w:val="007C2A6A"/>
    <w:rsid w:val="009516F1"/>
    <w:rsid w:val="009C1389"/>
    <w:rsid w:val="00A2790D"/>
    <w:rsid w:val="00AF680A"/>
    <w:rsid w:val="00B37F06"/>
    <w:rsid w:val="00BF0A44"/>
    <w:rsid w:val="00C27465"/>
    <w:rsid w:val="00C56029"/>
    <w:rsid w:val="00D1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">
    <w:name w:val="Body Text 2"/>
    <w:basedOn w:val="Normalny"/>
    <w:pPr>
      <w:ind w:left="360"/>
    </w:pPr>
  </w:style>
  <w:style w:type="paragraph" w:styleId="Tekstpodstawowy">
    <w:name w:val="Body Text"/>
    <w:basedOn w:val="Normalny"/>
    <w:pPr>
      <w:spacing w:line="180" w:lineRule="exact"/>
      <w:jc w:val="left"/>
    </w:pPr>
    <w:rPr>
      <w:sz w:val="16"/>
    </w:rPr>
  </w:style>
  <w:style w:type="paragraph" w:customStyle="1" w:styleId="BodyText20">
    <w:name w:val="Body Text 2"/>
    <w:basedOn w:val="Normalny"/>
    <w:pPr>
      <w:pBdr>
        <w:top w:val="single" w:sz="6" w:space="1" w:color="auto"/>
        <w:bottom w:val="single" w:sz="6" w:space="1" w:color="auto"/>
      </w:pBdr>
      <w:spacing w:line="180" w:lineRule="exact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20000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d020000bis</Template>
  <TotalTime>0</TotalTime>
  <Pages>8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dc:description>Roboty ziemne</dc:description>
  <cp:lastModifiedBy>Ruszkiewicz R.</cp:lastModifiedBy>
  <cp:revision>2</cp:revision>
  <cp:lastPrinted>1998-05-18T10:07:00Z</cp:lastPrinted>
  <dcterms:created xsi:type="dcterms:W3CDTF">2010-10-18T05:53:00Z</dcterms:created>
  <dcterms:modified xsi:type="dcterms:W3CDTF">2010-10-18T05:53:00Z</dcterms:modified>
</cp:coreProperties>
</file>