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  <w:r>
        <w:rPr>
          <w:b/>
          <w:sz w:val="28"/>
        </w:rPr>
        <w:t>D - 07.01.01</w:t>
      </w:r>
    </w:p>
    <w:p w:rsidR="00CD4320" w:rsidRDefault="00CD4320">
      <w:pPr>
        <w:jc w:val="center"/>
        <w:rPr>
          <w:b/>
          <w:sz w:val="27"/>
        </w:rPr>
      </w:pPr>
    </w:p>
    <w:p w:rsidR="00CD4320" w:rsidRDefault="00CD4320">
      <w:pPr>
        <w:jc w:val="center"/>
        <w:rPr>
          <w:b/>
          <w:sz w:val="27"/>
        </w:rPr>
      </w:pPr>
      <w:r>
        <w:rPr>
          <w:b/>
          <w:sz w:val="28"/>
        </w:rPr>
        <w:t>OZNAKOWANIE  POZIOME</w:t>
      </w: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jc w:val="center"/>
        <w:rPr>
          <w:b/>
          <w:sz w:val="28"/>
        </w:rPr>
      </w:pPr>
    </w:p>
    <w:p w:rsidR="00CD4320" w:rsidRDefault="00CD4320">
      <w:pPr>
        <w:rPr>
          <w:sz w:val="19"/>
        </w:rPr>
      </w:pPr>
    </w:p>
    <w:p w:rsidR="00CD4320" w:rsidRDefault="00CD4320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12671C" w:rsidRPr="0012671C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12671C" w:rsidRPr="0012671C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CD4320" w:rsidRDefault="00CD4320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CD4320" w:rsidRDefault="0012671C">
      <w:pPr>
        <w:tabs>
          <w:tab w:val="left" w:pos="284"/>
          <w:tab w:val="right" w:leader="dot" w:pos="8789"/>
        </w:tabs>
        <w:ind w:left="90"/>
        <w:jc w:val="center"/>
      </w:pPr>
      <w:r>
        <w:rPr>
          <w:b/>
        </w:rPr>
        <w:fldChar w:fldCharType="end"/>
      </w:r>
      <w:bookmarkStart w:id="0" w:name="_Toc404150096"/>
      <w:bookmarkStart w:id="1" w:name="_Toc416830698"/>
      <w:bookmarkStart w:id="2" w:name="_Toc420816680"/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tabs>
          <w:tab w:val="left" w:pos="284"/>
          <w:tab w:val="right" w:leader="dot" w:pos="8789"/>
        </w:tabs>
        <w:ind w:left="90"/>
        <w:jc w:val="center"/>
      </w:pPr>
    </w:p>
    <w:p w:rsidR="00CD4320" w:rsidRDefault="00CD4320">
      <w:pPr>
        <w:pStyle w:val="Nagwek1"/>
      </w:pPr>
    </w:p>
    <w:p w:rsidR="00CD4320" w:rsidRDefault="00CD4320">
      <w:pPr>
        <w:pStyle w:val="Nagwek1"/>
      </w:pPr>
      <w:r>
        <w:t>1. WSTĘP</w:t>
      </w:r>
    </w:p>
    <w:p w:rsidR="00CD4320" w:rsidRDefault="00CD4320">
      <w:pPr>
        <w:pStyle w:val="Nagwek2"/>
      </w:pPr>
      <w:bookmarkStart w:id="3" w:name="_Toc405615031"/>
      <w:bookmarkStart w:id="4" w:name="_Toc407161179"/>
      <w:r>
        <w:t>1.1. Przedmiot SST</w:t>
      </w:r>
      <w:bookmarkEnd w:id="3"/>
      <w:bookmarkEnd w:id="4"/>
    </w:p>
    <w:p w:rsidR="00CD4320" w:rsidRDefault="00CD4320">
      <w:pPr>
        <w:pStyle w:val="Standardowytekst"/>
      </w:pPr>
      <w:r>
        <w:tab/>
        <w:t>Przedmiotem niniejszej szczegółowej specyfikacji technicznej (SST) są wymagania dotyczące wykonania i odbioru oznakowania poziomego dróg.</w:t>
      </w:r>
    </w:p>
    <w:p w:rsidR="00CD4320" w:rsidRDefault="00CD4320">
      <w:pPr>
        <w:pStyle w:val="Nagwek2"/>
      </w:pPr>
      <w:bookmarkStart w:id="5" w:name="_Toc405615032"/>
      <w:bookmarkStart w:id="6" w:name="_Toc407161180"/>
      <w:r>
        <w:t>1.2. Zakres stosowania SST</w:t>
      </w:r>
      <w:bookmarkEnd w:id="5"/>
      <w:bookmarkEnd w:id="6"/>
    </w:p>
    <w:p w:rsidR="00CD4320" w:rsidRDefault="00CD4320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 </w:t>
      </w:r>
      <w:r>
        <w:tab/>
      </w:r>
      <w:r w:rsidR="002C5BB5">
        <w:t xml:space="preserve">BUDOWA ODCINKA ULICY TOWAROWEJ  w Czempiniu.  </w:t>
      </w:r>
    </w:p>
    <w:p w:rsidR="00CD4320" w:rsidRDefault="00CD4320">
      <w:pPr>
        <w:pStyle w:val="Nagwek2"/>
      </w:pPr>
      <w:bookmarkStart w:id="7" w:name="_Toc405615033"/>
      <w:bookmarkStart w:id="8" w:name="_Toc407161181"/>
      <w:r>
        <w:t>1.3. Zakres robót objętych SST</w:t>
      </w:r>
      <w:bookmarkEnd w:id="7"/>
      <w:bookmarkEnd w:id="8"/>
    </w:p>
    <w:p w:rsidR="00CD4320" w:rsidRDefault="00CD4320">
      <w:r>
        <w:tab/>
        <w:t>Ustalenia zawarte w niniejszej specyfikacji dotyczą zasad prowadzenia robót związanych z wykonywaniem i odbiorem oznakowania poziomego stosowanego na drogach o nawierzchni twardej przy przebudowie i modernizacji odcinków dróg powiatowych.</w:t>
      </w:r>
    </w:p>
    <w:p w:rsidR="00CD4320" w:rsidRDefault="00CD4320">
      <w:pPr>
        <w:pStyle w:val="Nagwek2"/>
      </w:pPr>
      <w:r>
        <w:t>1.4. Określenia podstawowe</w:t>
      </w:r>
    </w:p>
    <w:p w:rsidR="00CD4320" w:rsidRDefault="00CD4320">
      <w:r>
        <w:rPr>
          <w:b/>
        </w:rPr>
        <w:t xml:space="preserve">1.4.1. </w:t>
      </w:r>
      <w:r>
        <w:t>Oznakowanie poziome - znaki drogowe poziome, umieszczone na nawierzchni w postaci linii ciągłych lub przerywanych, pojedynczych lub podwójnych, strzałek, napisów, symboli oraz innych linii związanych z oznaczeniem określonych miejsc na tej nawierzchni.</w:t>
      </w:r>
    </w:p>
    <w:p w:rsidR="00CD4320" w:rsidRDefault="00CD4320">
      <w:pPr>
        <w:spacing w:before="120"/>
      </w:pPr>
      <w:r>
        <w:rPr>
          <w:b/>
        </w:rPr>
        <w:t xml:space="preserve">1.4.2. </w:t>
      </w:r>
      <w:r>
        <w:t>Znaki podłużne - linie równoległe do osi jezdni lub odchylone od niej pod niewielkim kątem, występujące jako linie segregacyjne lub krawędziowe, przerywane lub ciągłe.</w:t>
      </w:r>
    </w:p>
    <w:p w:rsidR="00CD4320" w:rsidRDefault="00CD4320">
      <w:pPr>
        <w:spacing w:before="120"/>
      </w:pPr>
      <w:r>
        <w:rPr>
          <w:b/>
        </w:rPr>
        <w:t xml:space="preserve">1.4.3. </w:t>
      </w:r>
      <w:r>
        <w:t>Strzałki - znaki poziome na nawierzchni, występujące jako strzałki kierunkowe służące do wskazania dozwolonego kierunku jazdy oraz strzałki naprowadzające, które uprzedzają o konieczności opuszczenia pasa, na którym się znajdują.</w:t>
      </w:r>
    </w:p>
    <w:p w:rsidR="00CD4320" w:rsidRDefault="00CD4320">
      <w:pPr>
        <w:spacing w:before="120"/>
      </w:pPr>
      <w:r>
        <w:rPr>
          <w:b/>
        </w:rPr>
        <w:t xml:space="preserve">1.4.4. </w:t>
      </w:r>
      <w:r>
        <w:t>Znaki poprzeczne - znaki wyznaczające miejsca przeznaczone do ruchu pieszych i rowerzystów w poprzek jezdni oraz miejsca zatrzymania pojazdów.</w:t>
      </w:r>
    </w:p>
    <w:p w:rsidR="00CD4320" w:rsidRDefault="00CD4320">
      <w:pPr>
        <w:spacing w:before="120"/>
      </w:pPr>
      <w:r>
        <w:rPr>
          <w:b/>
        </w:rPr>
        <w:t xml:space="preserve">1.4.5. </w:t>
      </w:r>
      <w:r>
        <w:t>Znaki uzupełniające - znaki w postaci symboli, napisów, linii przystankowych oraz inne określające szczególne miejsca na nawierzchni.</w:t>
      </w:r>
    </w:p>
    <w:p w:rsidR="00CD4320" w:rsidRDefault="00CD4320">
      <w:pPr>
        <w:pStyle w:val="Nagwek1"/>
        <w:rPr>
          <w:b w:val="0"/>
        </w:rPr>
      </w:pPr>
      <w:r>
        <w:t xml:space="preserve">1.4.6. </w:t>
      </w:r>
      <w:r>
        <w:rPr>
          <w:b w:val="0"/>
          <w:caps w:val="0"/>
        </w:rPr>
        <w:t>materiały do poziomego znakowania dróg - materiały zawierające rozpuszczalniki, wolne od rozpuszczalników lub punktowe elementy odblaskowe, które mogą zostać</w:t>
      </w:r>
      <w:bookmarkEnd w:id="0"/>
      <w:bookmarkEnd w:id="1"/>
      <w:bookmarkEnd w:id="2"/>
      <w:r>
        <w:rPr>
          <w:b w:val="0"/>
          <w:caps w:val="0"/>
        </w:rPr>
        <w:t xml:space="preserve"> naniesione albo wbudowane przez malowanie, natryskiwanie, odlewanie, wytłaczanie, rolowanie, klejenie itp. na nawierzchnie drogowe, stosowane w temperaturze otoczenia lub w temperaturze podwyższonej. materiały te powinny być </w:t>
      </w:r>
      <w:proofErr w:type="spellStart"/>
      <w:r>
        <w:rPr>
          <w:b w:val="0"/>
          <w:caps w:val="0"/>
        </w:rPr>
        <w:t>retrorefleksyjne</w:t>
      </w:r>
      <w:proofErr w:type="spellEnd"/>
      <w:r>
        <w:rPr>
          <w:b w:val="0"/>
          <w:caps w:val="0"/>
        </w:rPr>
        <w:t>.</w:t>
      </w:r>
    </w:p>
    <w:p w:rsidR="00CD4320" w:rsidRDefault="00CD4320">
      <w:pPr>
        <w:spacing w:before="120"/>
      </w:pPr>
      <w:r>
        <w:rPr>
          <w:b/>
        </w:rPr>
        <w:t xml:space="preserve">1.4.7. </w:t>
      </w:r>
      <w:r>
        <w:t xml:space="preserve">Materiały do znakowania cienkowarstwowego - farby nakładane warstwą grubości od </w:t>
      </w:r>
      <w:smartTag w:uri="urn:schemas-microsoft-com:office:smarttags" w:element="metricconverter">
        <w:smartTagPr>
          <w:attr w:name="ProductID" w:val="0,3 mm"/>
        </w:smartTagPr>
        <w:r>
          <w:t>0,3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 xml:space="preserve">0,8 </w:t>
        </w:r>
        <w:proofErr w:type="spellStart"/>
        <w:r>
          <w:t>mm</w:t>
        </w:r>
      </w:smartTag>
      <w:proofErr w:type="spellEnd"/>
      <w:r>
        <w:t>.</w:t>
      </w:r>
    </w:p>
    <w:p w:rsidR="00CD4320" w:rsidRDefault="00CD4320">
      <w:pPr>
        <w:spacing w:before="120"/>
      </w:pPr>
      <w:r>
        <w:rPr>
          <w:b/>
        </w:rPr>
        <w:t xml:space="preserve">1.4.8. </w:t>
      </w:r>
      <w:r>
        <w:t xml:space="preserve">Materiały do znakowania grubowarstwowego - materiały nakładane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 Należą do nich chemoutwardzalne masy stosowane na zimno oraz masy termoplastyczne.</w:t>
      </w:r>
    </w:p>
    <w:p w:rsidR="00CD4320" w:rsidRDefault="00CD4320">
      <w:pPr>
        <w:spacing w:before="120"/>
      </w:pPr>
      <w:r>
        <w:rPr>
          <w:b/>
        </w:rPr>
        <w:t xml:space="preserve">1.4.9. </w:t>
      </w:r>
      <w:r>
        <w:t>Materiały prefabrykowane - materiały, które łączy się z powierzchnią drogi przez klejenie, wtapianie, wbudowanie lub w inny sposób. Zalicza się do nich masy termoplastyczne w arkuszach do wtapiania oraz folie do oznakowań tymczasowych (żółte) i trwałych (białe) oraz punktowe elementy odblaskowe.</w:t>
      </w:r>
    </w:p>
    <w:p w:rsidR="00CD4320" w:rsidRDefault="00CD4320">
      <w:pPr>
        <w:spacing w:before="120"/>
      </w:pPr>
      <w:r>
        <w:rPr>
          <w:b/>
        </w:rPr>
        <w:t xml:space="preserve">1.4.10. </w:t>
      </w:r>
      <w:r>
        <w:t xml:space="preserve">Punktowe elementy odblaskowe - materiały o wysokości do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, a w szczególnych wypadkach do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 xml:space="preserve">, które są przyklejane lub wbudowywane w nawierzchnię. Mają różny kształt, wielkość i wysokość oraz rodzaj i liczbę zastosowanych elementów odblaskowych, do których należą szklane soczewki, elementy odblaskowe z </w:t>
      </w:r>
      <w:proofErr w:type="spellStart"/>
      <w:r>
        <w:t>polimetekrylanu</w:t>
      </w:r>
      <w:proofErr w:type="spellEnd"/>
      <w:r>
        <w:t xml:space="preserve"> metylu i folie odblaskowe.</w:t>
      </w:r>
    </w:p>
    <w:p w:rsidR="00CD4320" w:rsidRDefault="00CD4320">
      <w:pPr>
        <w:spacing w:before="120"/>
      </w:pPr>
      <w:r>
        <w:rPr>
          <w:b/>
        </w:rPr>
        <w:t xml:space="preserve">1.4.11. </w:t>
      </w:r>
      <w:r>
        <w:t>Tymczasowe oznakowanie drogowe - oznakowanie z materiału o barwie żółtej, którego czas użytkowania wynosi do 3 miesięcy lub do czasu zakończenia robót.</w:t>
      </w:r>
    </w:p>
    <w:p w:rsidR="00CD4320" w:rsidRDefault="00CD4320">
      <w:pPr>
        <w:spacing w:before="120"/>
      </w:pPr>
      <w:r>
        <w:rPr>
          <w:b/>
        </w:rPr>
        <w:t xml:space="preserve">1.4.12. </w:t>
      </w:r>
      <w:r>
        <w:t>Okresowe oznakowanie drogowe - oznakowanie, którego czas użytkowania wynosi do 6 miesięcy.</w:t>
      </w:r>
    </w:p>
    <w:p w:rsidR="00CD4320" w:rsidRDefault="00CD4320">
      <w:pPr>
        <w:spacing w:before="120"/>
      </w:pPr>
      <w:r>
        <w:rPr>
          <w:b/>
        </w:rPr>
        <w:lastRenderedPageBreak/>
        <w:t xml:space="preserve">1.4.13. </w:t>
      </w:r>
      <w:r>
        <w:t>Kulki szklane - materiał do posypywania lub narzucania pod ciśnieniem na oznakowanie wykonane materiałami w stanie ciekłym, w celu uzyskania widzialności oznakowania w nocy.</w:t>
      </w:r>
    </w:p>
    <w:p w:rsidR="00CD4320" w:rsidRDefault="00CD4320">
      <w:pPr>
        <w:spacing w:before="120"/>
      </w:pPr>
      <w:r>
        <w:rPr>
          <w:b/>
        </w:rPr>
        <w:t xml:space="preserve">1.4.14. </w:t>
      </w:r>
      <w:r>
        <w:t xml:space="preserve">Materiał </w:t>
      </w:r>
      <w:proofErr w:type="spellStart"/>
      <w:r>
        <w:t>uszorstniający</w:t>
      </w:r>
      <w:proofErr w:type="spellEnd"/>
      <w:r>
        <w:t xml:space="preserve"> - kruszywo zapewniające oznakowaniu poziomemu właściwości antypoślizgowe.</w:t>
      </w:r>
    </w:p>
    <w:p w:rsidR="00CD4320" w:rsidRDefault="00CD4320">
      <w:pPr>
        <w:spacing w:before="120"/>
      </w:pPr>
      <w:r>
        <w:rPr>
          <w:b/>
        </w:rPr>
        <w:t xml:space="preserve">1.4.15.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 </w:t>
      </w:r>
    </w:p>
    <w:p w:rsidR="00CD4320" w:rsidRDefault="00CD4320">
      <w:pPr>
        <w:pStyle w:val="Nagwek2"/>
      </w:pPr>
      <w:r>
        <w:t>1.5. Ogólne wymagania dotyczące robót</w:t>
      </w:r>
    </w:p>
    <w:p w:rsidR="00CD4320" w:rsidRDefault="00CD4320">
      <w:pPr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 </w:t>
      </w:r>
    </w:p>
    <w:p w:rsidR="00CD4320" w:rsidRDefault="00CD4320">
      <w:pPr>
        <w:pStyle w:val="Nagwek1"/>
      </w:pPr>
      <w:bookmarkStart w:id="9" w:name="_Toc420816681"/>
      <w:r>
        <w:t>2. materiały</w:t>
      </w:r>
      <w:bookmarkEnd w:id="9"/>
    </w:p>
    <w:p w:rsidR="00CD4320" w:rsidRDefault="00CD4320">
      <w:pPr>
        <w:pStyle w:val="Nagwek2"/>
      </w:pPr>
      <w:r>
        <w:t>2.1. Ogólne wymagania dotyczące materiałów</w:t>
      </w:r>
    </w:p>
    <w:p w:rsidR="00CD4320" w:rsidRDefault="00CD4320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CD4320" w:rsidRDefault="00CD4320">
      <w:pPr>
        <w:pStyle w:val="Nagwek2"/>
      </w:pPr>
      <w:r>
        <w:t>2.2. Dokument dopuszczający do stosowania materiałów</w:t>
      </w:r>
    </w:p>
    <w:p w:rsidR="00CD4320" w:rsidRDefault="00CD4320">
      <w:r>
        <w:tab/>
        <w:t>Każdy materiał używany przez Wykonawcę do poziomego znakowania dróg musi posiadać aprobatę techniczną.</w:t>
      </w:r>
    </w:p>
    <w:p w:rsidR="00CD4320" w:rsidRDefault="00CD4320">
      <w:pPr>
        <w:pStyle w:val="Nagwek2"/>
      </w:pPr>
      <w:r>
        <w:t>2.3. Badanie materiałów, których jakość budzi wątpliwość</w:t>
      </w:r>
    </w:p>
    <w:p w:rsidR="00CD4320" w:rsidRDefault="00CD4320">
      <w:r>
        <w:tab/>
        <w:t xml:space="preserve">Wykonawca powinien przeprowadzić dodatkowe badania tych materiałów, które budzą wątpliwości jego lub Inżyniera, co do jakości, w celu stwierdzenia czy odpowiadają one wymaganiom określonym w punkcie 2. Badania te Wykonawca zleci </w:t>
      </w:r>
      <w:proofErr w:type="spellStart"/>
      <w:r>
        <w:t>IBDiM</w:t>
      </w:r>
      <w:proofErr w:type="spellEnd"/>
      <w:r>
        <w:t xml:space="preserve"> lub akredytowanemu laboratorium. Badania powinny być wykonane zgodnie z „Warunkami technicznymi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</w:t>
      </w:r>
    </w:p>
    <w:p w:rsidR="00CD4320" w:rsidRDefault="00CD4320">
      <w:pPr>
        <w:pStyle w:val="Nagwek2"/>
      </w:pPr>
      <w:r>
        <w:t>2.4. Oznakowanie opakowań</w:t>
      </w:r>
    </w:p>
    <w:p w:rsidR="00CD4320" w:rsidRDefault="00CD4320">
      <w:r>
        <w:tab/>
        <w:t>Wykonawca powinien żądać od producenta, aby oznakowanie opakowań materiałów do poziomego znakowania dróg było wykonane zgodnie z PN-O-79252 [2], a ponadto aby na każdym opakowaniu był umieszczony trwały napis zawierający:</w:t>
      </w:r>
    </w:p>
    <w:p w:rsidR="00CD4320" w:rsidRDefault="00CD4320" w:rsidP="00ED602D">
      <w:pPr>
        <w:numPr>
          <w:ilvl w:val="0"/>
          <w:numId w:val="1"/>
        </w:numPr>
      </w:pPr>
      <w:r>
        <w:t>nazwę producenta i materiału do znakowania dróg,</w:t>
      </w:r>
    </w:p>
    <w:p w:rsidR="00CD4320" w:rsidRDefault="00CD4320" w:rsidP="00ED602D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masê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,</w:t>
      </w:r>
    </w:p>
    <w:p w:rsidR="00CD4320" w:rsidRDefault="00CD4320" w:rsidP="00ED602D">
      <w:pPr>
        <w:numPr>
          <w:ilvl w:val="0"/>
          <w:numId w:val="1"/>
        </w:numPr>
      </w:pPr>
      <w:r>
        <w:t>numer partii i datę produkcji,</w:t>
      </w:r>
    </w:p>
    <w:p w:rsidR="00CD4320" w:rsidRDefault="00CD4320" w:rsidP="00ED602D">
      <w:pPr>
        <w:numPr>
          <w:ilvl w:val="0"/>
          <w:numId w:val="1"/>
        </w:numPr>
      </w:pPr>
      <w:r>
        <w:t>informację o szkodliwości i klasie zagrożenia pożarowego,</w:t>
      </w:r>
    </w:p>
    <w:p w:rsidR="00CD4320" w:rsidRDefault="00CD4320" w:rsidP="00ED602D">
      <w:pPr>
        <w:numPr>
          <w:ilvl w:val="0"/>
          <w:numId w:val="1"/>
        </w:numPr>
      </w:pPr>
      <w:r>
        <w:t>ewentualne wskazówki dla użytkowników.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2.5. Przepisy określające wymagania dla materiałów</w:t>
      </w:r>
    </w:p>
    <w:p w:rsidR="00CD4320" w:rsidRDefault="00CD4320" w:rsidP="00ED602D">
      <w:pPr>
        <w:numPr>
          <w:ilvl w:val="12"/>
          <w:numId w:val="0"/>
        </w:numPr>
      </w:pPr>
      <w:r>
        <w:tab/>
        <w:t>Podstawowe wymagania dotyczące materiałów podano w punkcie 2.6, a szczegółowe wymagania określone są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2.6. Wymagania wobec materiałów do poziomego znakowania dróg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rPr>
          <w:b/>
        </w:rPr>
        <w:t xml:space="preserve">2.6.1. </w:t>
      </w:r>
      <w:r>
        <w:t xml:space="preserve"> Materiały do znakowania cienkowarstwowego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Materiałami do znakowania cienkowarstwowego powinny być farby nakładane warstwą grubości od </w:t>
      </w:r>
      <w:smartTag w:uri="urn:schemas-microsoft-com:office:smarttags" w:element="metricconverter">
        <w:smartTagPr>
          <w:attr w:name="ProductID" w:val="0,3 mm"/>
        </w:smartTagPr>
        <w:r>
          <w:t>0,3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 xml:space="preserve"> (na mokro). Powinny być nimi ciekłe produkty zawierające ciała stałe rozproszone w organicznym rozpuszczalniku lub wodzie, które mogą występować w układach jedno- lub wieloskładnikowych.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Właściwości fizyczne materiałów do znakowania cienkowarstwowego określa aprobata techniczna odpowiadająca wymaganiom POD-97 [4].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rPr>
          <w:b/>
        </w:rPr>
        <w:t xml:space="preserve">2.6.2. </w:t>
      </w:r>
      <w:r>
        <w:t>Materiały do znakowania grubowarstwowego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Materiałami do znakowania grubowarstwowego powinny być materiały umożliwiające nakładanie ich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 jak masy chemoutwardzalne stosowane na zimno oraz masy termoplastyczne.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Masy chemoutwardzalne powinny być substancjami jedno- lub dwuskładnikowymi, mieszanymi ze sobą w proporcjach ustalonych przez producenta i nakładanymi na nawierzchnię </w:t>
      </w:r>
      <w:r>
        <w:lastRenderedPageBreak/>
        <w:t xml:space="preserve">odpowiednim </w:t>
      </w:r>
      <w:proofErr w:type="spellStart"/>
      <w:r>
        <w:t>aplikatorem</w:t>
      </w:r>
      <w:proofErr w:type="spellEnd"/>
      <w:r>
        <w:t>. Masy te powinny tworzyć warstwę kohezyjną w wyniku reakcji chemicznej.</w:t>
      </w:r>
    </w:p>
    <w:p w:rsidR="00CD4320" w:rsidRDefault="00CD4320" w:rsidP="00ED602D">
      <w:pPr>
        <w:numPr>
          <w:ilvl w:val="12"/>
          <w:numId w:val="0"/>
        </w:numPr>
      </w:pPr>
      <w:r>
        <w:tab/>
        <w:t>Masy termoplastyczne powinny być substancjami nie zawierającymi rozpuszczalników, dostarczanymi w postaci bloków, granulek lub proszku. Przy stosowaniu powinny dać się podgrzewać do stopienia i aplikować ręcznie lub maszynowo. Masy te powinny tworzyć warstwę kohezyjną przez ochłodzenie.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Właściwości fizyczne materiałów do znakowania grubowarstwowego i wykonanych z nich elementów prefabrykowanych określa aprobata techniczna, odpowiadająca wymaganiom POD-97 [4].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2.6.3. </w:t>
      </w:r>
      <w:r>
        <w:t>Zawartość   składników   lotnych  w  materiałach   do  znakowania   cienko-   i grubo-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 xml:space="preserve">          warstwowego</w:t>
      </w:r>
    </w:p>
    <w:p w:rsidR="00CD4320" w:rsidRDefault="00CD4320" w:rsidP="00ED602D">
      <w:pPr>
        <w:numPr>
          <w:ilvl w:val="12"/>
          <w:numId w:val="0"/>
        </w:numPr>
      </w:pPr>
      <w:r>
        <w:tab/>
        <w:t>Zawartość składników lotnych (rozpuszczalników organicznych) nie powinna przekraczać w materiałach do znakowania:</w:t>
      </w:r>
    </w:p>
    <w:p w:rsidR="00CD4320" w:rsidRDefault="00CD4320" w:rsidP="00ED602D">
      <w:pPr>
        <w:numPr>
          <w:ilvl w:val="0"/>
          <w:numId w:val="1"/>
        </w:numPr>
      </w:pPr>
      <w:r>
        <w:t>cienkowarstwowego 30% (m/m),</w:t>
      </w:r>
    </w:p>
    <w:p w:rsidR="00CD4320" w:rsidRDefault="00CD4320" w:rsidP="00ED602D">
      <w:pPr>
        <w:numPr>
          <w:ilvl w:val="0"/>
          <w:numId w:val="1"/>
        </w:numPr>
      </w:pPr>
      <w:r>
        <w:t>grubowarstwowego 2% (m/m).</w:t>
      </w:r>
    </w:p>
    <w:p w:rsidR="00CD4320" w:rsidRDefault="00CD4320" w:rsidP="00ED602D">
      <w:pPr>
        <w:numPr>
          <w:ilvl w:val="12"/>
          <w:numId w:val="0"/>
        </w:numPr>
      </w:pPr>
      <w:r>
        <w:tab/>
        <w:t>Nie dopuszcza się stosowania materiałów zawierających rozpuszczalnik aromatyczny (jak np. toluen, ksylen) w ilości większej niż 10%. Nie dopuszcza się stosowania materiałów zawierających benzen i rozpuszczalniki chlorowane.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2.6.4. </w:t>
      </w:r>
      <w:r>
        <w:t>Kulki szklane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CD4320" w:rsidRDefault="00CD4320" w:rsidP="00ED602D">
      <w:pPr>
        <w:numPr>
          <w:ilvl w:val="12"/>
          <w:numId w:val="0"/>
        </w:numPr>
      </w:pPr>
      <w:r>
        <w:tab/>
        <w:t>Kulki szklane powinny charakteryzować się współczynnikiem załamania powyżej 1,50, wykazywać odporność na wodę i zawierać nie więcej niż 20% kulek z defektami.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Kulki szklane </w:t>
      </w:r>
      <w:proofErr w:type="spellStart"/>
      <w:r>
        <w:t>hydrofobizowane</w:t>
      </w:r>
      <w:proofErr w:type="spellEnd"/>
      <w:r>
        <w:t xml:space="preserve"> powinny ponadto wykazywać stopień </w:t>
      </w:r>
      <w:proofErr w:type="spellStart"/>
      <w:r>
        <w:t>hydrofobizacji</w:t>
      </w:r>
      <w:proofErr w:type="spellEnd"/>
      <w:r>
        <w:t xml:space="preserve"> co najmniej 80%.</w:t>
      </w:r>
    </w:p>
    <w:p w:rsidR="00CD4320" w:rsidRDefault="00CD4320" w:rsidP="00ED602D">
      <w:pPr>
        <w:numPr>
          <w:ilvl w:val="12"/>
          <w:numId w:val="0"/>
        </w:numPr>
      </w:pPr>
      <w:r>
        <w:tab/>
        <w:t>Właściwości kulek szklanych określa aprobata techniczna, odpowiadająca wymaganiom POD-97 [4].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2.6.5. </w:t>
      </w:r>
      <w:r>
        <w:t xml:space="preserve">Materiał </w:t>
      </w:r>
      <w:proofErr w:type="spellStart"/>
      <w:r>
        <w:t>uszorstniający</w:t>
      </w:r>
      <w:proofErr w:type="spellEnd"/>
      <w:r>
        <w:t xml:space="preserve"> oznakowanie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oznakowanie powinien składać się z naturalnego lub sztucznego twardego kruszywa (np. krystobalitu), stosowanego w celu zapewnienia oznakowaniu odpowiedniej szorstkości (właściwości antypoślizgowych). Materiał </w:t>
      </w:r>
      <w:proofErr w:type="spellStart"/>
      <w:r>
        <w:t>uszorstniający</w:t>
      </w:r>
      <w:proofErr w:type="spellEnd"/>
      <w:r>
        <w:t xml:space="preserve"> nie może zawierać więcej niż 1% cząstek mniejszych niż 90 </w:t>
      </w:r>
      <w:r>
        <w:sym w:font="Symbol" w:char="F06D"/>
      </w:r>
      <w:r>
        <w:t xml:space="preserve">m. Potrzeba stosowania materiału </w:t>
      </w:r>
      <w:proofErr w:type="spellStart"/>
      <w:r>
        <w:t>uszorstniającego</w:t>
      </w:r>
      <w:proofErr w:type="spellEnd"/>
      <w:r>
        <w:t xml:space="preserve"> powinna być określona w SST.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oraz mieszanina kulek szklanych z materiałem </w:t>
      </w:r>
      <w:proofErr w:type="spellStart"/>
      <w:r>
        <w:t>uszorstniającym</w:t>
      </w:r>
      <w:proofErr w:type="spellEnd"/>
      <w:r>
        <w:t xml:space="preserve"> powinny odpowiadać wymaganiom określonym w aprobacie technicznej lub POD-97 [4].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2.6.6. </w:t>
      </w:r>
      <w:r>
        <w:t>Punktowe elementy odblaskowe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Punktowym elementem odblaskowym powinna być naklejana, kotwiczona lub wbudowana w nawierzchnię płytka z materiału wytrzymującego przejazdy pojazdów samochodowych, zawierająca element odblaskowy umieszczony w ten sposób, aby zapewniał widzialność w nocy, a także w czasie opadów deszczu.</w:t>
      </w:r>
    </w:p>
    <w:p w:rsidR="00CD4320" w:rsidRDefault="00CD4320" w:rsidP="00ED602D">
      <w:pPr>
        <w:numPr>
          <w:ilvl w:val="12"/>
          <w:numId w:val="0"/>
        </w:numPr>
      </w:pPr>
      <w:r>
        <w:tab/>
        <w:t>Element odblaskowy (</w:t>
      </w:r>
      <w:proofErr w:type="spellStart"/>
      <w:r>
        <w:t>retroreflektor</w:t>
      </w:r>
      <w:proofErr w:type="spellEnd"/>
      <w:r>
        <w:t>), będący częścią punktowego elementu odblaskowego może być:</w:t>
      </w:r>
    </w:p>
    <w:p w:rsidR="00CD4320" w:rsidRDefault="00CD4320" w:rsidP="00ED602D">
      <w:pPr>
        <w:numPr>
          <w:ilvl w:val="0"/>
          <w:numId w:val="1"/>
        </w:numPr>
      </w:pPr>
      <w:r>
        <w:t>szklany lub plastikowy w całości lub z dodatkową warstwą odbijającą znajdującą się na powierzchni nie wystawionej na zewnątrz i nie narażoną na przejeżdżanie pojazdów,</w:t>
      </w:r>
    </w:p>
    <w:p w:rsidR="00CD4320" w:rsidRDefault="00CD4320" w:rsidP="00ED602D">
      <w:pPr>
        <w:numPr>
          <w:ilvl w:val="0"/>
          <w:numId w:val="1"/>
        </w:numPr>
      </w:pPr>
      <w:r>
        <w:t>plastikowy z warstwą zabezpieczającą przed ścieraniem, który może mieć warstwę odbijającą tylko w miejscu nie wystawionym na ruch i w którym powierzchnie wystawione na ruch są zabezpieczone warstwami odpornymi na ścieranie.</w:t>
      </w:r>
    </w:p>
    <w:p w:rsidR="00CD4320" w:rsidRDefault="00CD4320">
      <w:r>
        <w:tab/>
        <w:t xml:space="preserve">Profil punktowego elementu odblaskowego nie powinien mieć żadnych ostrych krawędzi od strony najeżdżanej przez pojazdy. Jeśli punktowy element odblaskowy jest wykonany z dwu lub więcej części, każda z nich powinna być usuwalna tylko za pomocą narzędzi polecanych przez producenta. Wysokość punktowego elementu nie może być większa od </w:t>
      </w:r>
      <w:smartTag w:uri="urn:schemas-microsoft-com:office:smarttags" w:element="metricconverter">
        <w:smartTagPr>
          <w:attr w:name="ProductID" w:val="25 mm"/>
        </w:smartTagPr>
        <w:r>
          <w:t xml:space="preserve">25 </w:t>
        </w:r>
        <w:proofErr w:type="spellStart"/>
        <w:r>
          <w:t>mm</w:t>
        </w:r>
      </w:smartTag>
      <w:proofErr w:type="spellEnd"/>
      <w:r>
        <w:t>. Barwa, w przypadku oznakowania trwałego, powinna być biała lub srebrzysta, a dla oznakowania czasowego - żółta.</w:t>
      </w:r>
    </w:p>
    <w:p w:rsidR="00CD4320" w:rsidRDefault="00CD4320">
      <w:r>
        <w:tab/>
        <w:t>Właściwości punktowego elementu odblaskowego określa aprobata techniczna, odpowiadająca wymaganiom POD-97 [4].</w:t>
      </w:r>
    </w:p>
    <w:p w:rsidR="00CD4320" w:rsidRDefault="00CD4320">
      <w:pPr>
        <w:spacing w:before="120"/>
      </w:pPr>
      <w:r>
        <w:rPr>
          <w:b/>
        </w:rPr>
        <w:t xml:space="preserve">2.6.7. </w:t>
      </w:r>
      <w:r>
        <w:t>Wymagania wobec materiałów ze względu na ochronę warunków pracy i środowiska</w:t>
      </w:r>
    </w:p>
    <w:p w:rsidR="00CD4320" w:rsidRDefault="00CD4320">
      <w:pPr>
        <w:spacing w:before="120"/>
      </w:pPr>
      <w:r>
        <w:lastRenderedPageBreak/>
        <w:tab/>
        <w:t>Materiały stosowane do znakowania nawierzchni nie powinny zawierać substancji zagrażających zdrowiu ludzi i powodujących skażenie środowiska.</w:t>
      </w:r>
    </w:p>
    <w:p w:rsidR="00CD4320" w:rsidRDefault="00CD4320">
      <w:pPr>
        <w:pStyle w:val="Nagwek2"/>
      </w:pPr>
      <w:r>
        <w:t>2.7. Przechowywanie i składowanie materiałów</w:t>
      </w:r>
    </w:p>
    <w:p w:rsidR="00CD4320" w:rsidRDefault="00CD4320">
      <w:r>
        <w:tab/>
        <w:t>Materiały do znakowania cienko- i grubowarstwowego nawierzchni powinny zachować stałość swoich właściwości chemicznych i fizykochemicznych przez okres co najmniej 6 miesięcy składowania w warunkach określonych przez producenta.</w:t>
      </w:r>
    </w:p>
    <w:p w:rsidR="00CD4320" w:rsidRDefault="00CD4320">
      <w:r>
        <w:tab/>
        <w:t>Materiały do poziomego znakowania dróg należy przechowywać w magazynach odpowiadających zaleceniom producenta, zwłaszcza zabezpieczających je od napromieniowania słonecznego, opadów i w temperaturze, dla:</w:t>
      </w:r>
    </w:p>
    <w:p w:rsidR="00CD4320" w:rsidRDefault="00CD4320" w:rsidP="00ED602D">
      <w:pPr>
        <w:numPr>
          <w:ilvl w:val="0"/>
          <w:numId w:val="2"/>
        </w:numPr>
      </w:pPr>
      <w:r>
        <w:t>farb wodorozcieńczalnych od 5</w:t>
      </w:r>
      <w:r>
        <w:rPr>
          <w:vertAlign w:val="superscript"/>
        </w:rPr>
        <w:t>o</w:t>
      </w:r>
      <w:r>
        <w:t xml:space="preserve"> do 40</w:t>
      </w:r>
      <w:r>
        <w:rPr>
          <w:vertAlign w:val="superscript"/>
        </w:rPr>
        <w:t>o</w:t>
      </w:r>
      <w:r>
        <w:t>C,</w:t>
      </w:r>
    </w:p>
    <w:p w:rsidR="00CD4320" w:rsidRDefault="00CD4320" w:rsidP="00ED602D">
      <w:pPr>
        <w:numPr>
          <w:ilvl w:val="0"/>
          <w:numId w:val="2"/>
        </w:numPr>
      </w:pPr>
      <w:r>
        <w:t>farb rozpuszczalnikowych od 0</w:t>
      </w:r>
      <w:r>
        <w:rPr>
          <w:vertAlign w:val="superscript"/>
        </w:rPr>
        <w:t>o</w:t>
      </w:r>
      <w:r>
        <w:t xml:space="preserve"> do 25</w:t>
      </w:r>
      <w:r>
        <w:rPr>
          <w:vertAlign w:val="superscript"/>
        </w:rPr>
        <w:t>o</w:t>
      </w:r>
      <w:r>
        <w:t>C,</w:t>
      </w:r>
    </w:p>
    <w:p w:rsidR="00CD4320" w:rsidRDefault="00CD4320" w:rsidP="00ED602D">
      <w:pPr>
        <w:numPr>
          <w:ilvl w:val="0"/>
          <w:numId w:val="2"/>
        </w:numPr>
        <w:spacing w:after="120"/>
        <w:ind w:left="284" w:hanging="284"/>
      </w:pPr>
      <w:r>
        <w:t>pozostałych materiałów - poniżej 40</w:t>
      </w:r>
      <w:r>
        <w:rPr>
          <w:vertAlign w:val="superscript"/>
        </w:rPr>
        <w:t>o</w:t>
      </w:r>
      <w:r>
        <w:t>C.</w:t>
      </w:r>
    </w:p>
    <w:p w:rsidR="00CD4320" w:rsidRDefault="00CD4320">
      <w:pPr>
        <w:pStyle w:val="Nagwek1"/>
      </w:pPr>
      <w:bookmarkStart w:id="10" w:name="_Toc420816682"/>
      <w:r>
        <w:t>3. sprzęt</w:t>
      </w:r>
      <w:bookmarkEnd w:id="10"/>
    </w:p>
    <w:p w:rsidR="00CD4320" w:rsidRDefault="00CD4320">
      <w:pPr>
        <w:pStyle w:val="Nagwek2"/>
      </w:pPr>
      <w:r>
        <w:t>3.1. Ogólne wymagania dotyczące sprzętu</w:t>
      </w:r>
    </w:p>
    <w:p w:rsidR="00CD4320" w:rsidRDefault="00CD4320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CD4320" w:rsidRDefault="00CD4320">
      <w:pPr>
        <w:pStyle w:val="Nagwek2"/>
      </w:pPr>
      <w:r>
        <w:t>3.2. Sprzęt do wykonania oznakowania poziomego</w:t>
      </w:r>
    </w:p>
    <w:p w:rsidR="00CD4320" w:rsidRDefault="00CD4320">
      <w:r>
        <w:tab/>
        <w:t>Wykonawca przystępujący do wykonania oznakowania poziomego, w zależności od zakresu robót, powinien wykazać się możliwością korzystania z następującego sprzętu, zaakceptowanego przez Inżyniera:</w:t>
      </w:r>
    </w:p>
    <w:p w:rsidR="00CD4320" w:rsidRDefault="00CD4320" w:rsidP="00ED602D">
      <w:pPr>
        <w:numPr>
          <w:ilvl w:val="0"/>
          <w:numId w:val="1"/>
        </w:numPr>
      </w:pPr>
      <w:r>
        <w:t>szczotek mechanicznych (zaleca się stosowanie szczotek wyposażonych w urządzenia odpylające) oraz szczotek ręcznych,</w:t>
      </w:r>
    </w:p>
    <w:p w:rsidR="00CD4320" w:rsidRDefault="00CD4320" w:rsidP="00ED602D">
      <w:pPr>
        <w:numPr>
          <w:ilvl w:val="0"/>
          <w:numId w:val="1"/>
        </w:numPr>
      </w:pPr>
      <w:r>
        <w:t>frezarek,</w:t>
      </w:r>
    </w:p>
    <w:p w:rsidR="00CD4320" w:rsidRDefault="00CD4320" w:rsidP="00ED602D">
      <w:pPr>
        <w:numPr>
          <w:ilvl w:val="0"/>
          <w:numId w:val="1"/>
        </w:numPr>
      </w:pPr>
      <w:r>
        <w:t>sprężarek,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malowarek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układarek mas termoplastycznych i chemoutwardzalnych,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sprzętu do badań, określonych w SST.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1" w:name="_Toc420816683"/>
      <w:r>
        <w:t>4. transport</w:t>
      </w:r>
      <w:bookmarkEnd w:id="11"/>
    </w:p>
    <w:p w:rsidR="00CD4320" w:rsidRDefault="00CD4320" w:rsidP="00ED602D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4.2. Przewóz materiałów do poziomego znakowania dróg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Materiały do znakowania poziomego należy przewozić krytymi środkami transportowymi, chroniąc opakowania przed uszkodzeniem mechanicznym, zgodnie z PN-C-81400 [1] oraz zgodnie z prawem przewozowym.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2" w:name="_Toc420816684"/>
      <w:r>
        <w:t>5. wykonanie robót</w:t>
      </w:r>
      <w:bookmarkEnd w:id="12"/>
    </w:p>
    <w:p w:rsidR="00CD4320" w:rsidRDefault="00CD4320" w:rsidP="00ED602D">
      <w:pPr>
        <w:pStyle w:val="Nagwek2"/>
        <w:numPr>
          <w:ilvl w:val="12"/>
          <w:numId w:val="0"/>
        </w:numPr>
      </w:pPr>
      <w:r>
        <w:t>5.1. Ogólne zasady wykonania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5.2. Warunki atmosferyczne</w:t>
      </w:r>
    </w:p>
    <w:p w:rsidR="00CD4320" w:rsidRDefault="00CD4320" w:rsidP="00ED602D">
      <w:pPr>
        <w:numPr>
          <w:ilvl w:val="12"/>
          <w:numId w:val="0"/>
        </w:numPr>
      </w:pPr>
      <w:r>
        <w:tab/>
        <w:t>W czasie wykonywania oznakowania temperatura nawierzchni i powietrza powinna wynosić co najmniej 5</w:t>
      </w:r>
      <w:r>
        <w:rPr>
          <w:vertAlign w:val="superscript"/>
        </w:rPr>
        <w:t>o</w:t>
      </w:r>
      <w:r>
        <w:t>C, a wilgotność względna powietrza powinna być zgodna z zaleceniami producenta lub wynosić co najwyżej 85%.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5.3. Jednorodność nawierzchni znakowanej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</w:t>
      </w:r>
      <w:r>
        <w:lastRenderedPageBreak/>
        <w:t>jednorodne. Dla powierzchni niejednorodnych należy ustalić w SST wymagania wobec materiału do znakowania nawierzchni.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5.4. Przygotowanie podłoża do wykonania znakowania</w:t>
      </w:r>
    </w:p>
    <w:p w:rsidR="00CD4320" w:rsidRDefault="00CD4320" w:rsidP="00ED602D">
      <w:pPr>
        <w:numPr>
          <w:ilvl w:val="12"/>
          <w:numId w:val="0"/>
        </w:numPr>
      </w:pPr>
      <w:r>
        <w:tab/>
        <w:t>Przed wykonaniem znakowania poziomego należy oczyścić powierzchnię nawierzchni malowanej z pyłu, kurzu, piasku, smarów, olejów i innych zanieczyszczeń, przy użyciu sprzętu wymienionego w SST i zaakceptowanego przez Inżyniera.</w:t>
      </w:r>
    </w:p>
    <w:p w:rsidR="00CD4320" w:rsidRDefault="00CD4320" w:rsidP="00ED602D">
      <w:pPr>
        <w:numPr>
          <w:ilvl w:val="12"/>
          <w:numId w:val="0"/>
        </w:numPr>
      </w:pPr>
      <w:r>
        <w:tab/>
        <w:t>Powierzchnia nawierzchni przygotowana do wykonania oznakowania poziomego musi być czysta i sucha.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 xml:space="preserve">5.5. </w:t>
      </w:r>
      <w:proofErr w:type="spellStart"/>
      <w:r>
        <w:t>Przedznakowanie</w:t>
      </w:r>
      <w:proofErr w:type="spellEnd"/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celu dokładnego wykonania poziomego oznakowania drogi, można wykonać </w:t>
      </w:r>
      <w:proofErr w:type="spellStart"/>
      <w:r>
        <w:t>przedznakowanie</w:t>
      </w:r>
      <w:proofErr w:type="spellEnd"/>
      <w:r>
        <w:t>, stosując się do ustaleń zawartych w dokumentacji projektowej, „Instrukcji o znakach drogowych poziomych” [3], SST i wskazaniach Inżyniera.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Do wykonania </w:t>
      </w:r>
      <w:proofErr w:type="spellStart"/>
      <w:r>
        <w:t>przedznakowania</w:t>
      </w:r>
      <w:proofErr w:type="spellEnd"/>
      <w:r>
        <w:t xml:space="preserve"> można stosować nietrwałą farbę, np. farbę silnie rozcieńczoną rozpuszczalnikiem. Zaleca się wykonywanie </w:t>
      </w:r>
      <w:proofErr w:type="spellStart"/>
      <w:r>
        <w:t>przedznakowania</w:t>
      </w:r>
      <w:proofErr w:type="spellEnd"/>
      <w:r>
        <w:t xml:space="preserve"> w postaci cienkich linii lub kropek. Początek i koniec znakowania należy zaznaczyć małą kreską poprzeczną.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przypadku odnawiania znakowania drogi, gdy stare znakowanie jest wystarczająco czytelne i zgodne z dokumentacją projektową, można </w:t>
      </w:r>
      <w:proofErr w:type="spellStart"/>
      <w:r>
        <w:t>przedznakowania</w:t>
      </w:r>
      <w:proofErr w:type="spellEnd"/>
      <w:r>
        <w:t xml:space="preserve"> nie wykonywać.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5.6. Wykonanie znakowania drogi</w:t>
      </w:r>
    </w:p>
    <w:p w:rsidR="00CD4320" w:rsidRDefault="00CD4320" w:rsidP="00ED602D">
      <w:pPr>
        <w:pStyle w:val="Nagwek2"/>
        <w:numPr>
          <w:ilvl w:val="12"/>
          <w:numId w:val="0"/>
        </w:numPr>
        <w:spacing w:before="0"/>
      </w:pPr>
      <w:r>
        <w:t>5.6.1.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Dostarczenie materiałów i spełnienie zaleceń producenta materiałów</w:t>
      </w:r>
    </w:p>
    <w:p w:rsidR="00CD4320" w:rsidRDefault="00CD4320" w:rsidP="00ED602D">
      <w:pPr>
        <w:numPr>
          <w:ilvl w:val="12"/>
          <w:numId w:val="0"/>
        </w:numPr>
      </w:pPr>
      <w:r>
        <w:tab/>
        <w:t>Materiały do znakowania drogi, spełniające wymagania podane w punkcie 2, powinny być dostarczone w oryginalnych opakowaniach handlowych i stosowane zgodnie z zaleceniami SST, producenta oraz wymaganiami znajdującymi się w aprobacie technicznej.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5.6.2. </w:t>
      </w:r>
      <w:r>
        <w:t>Wykonanie znakowania drogi materiałami cienkowarstwowymi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Farbę do znakowania cienkowarstwowego po otwarciu opakowania należy wymieszać w czasie od 2 do 4 min do uzyskania pełnej jednorodności. Przed lub w czasie napełniania zbiornika </w:t>
      </w:r>
      <w:proofErr w:type="spellStart"/>
      <w:r>
        <w:t>malowarki</w:t>
      </w:r>
      <w:proofErr w:type="spellEnd"/>
      <w:r>
        <w:t xml:space="preserve"> zaleca się przecedzić farbę przez sito </w:t>
      </w:r>
      <w:smartTag w:uri="urn:schemas-microsoft-com:office:smarttags" w:element="metricconverter">
        <w:smartTagPr>
          <w:attr w:name="ProductID" w:val="0,6 mm"/>
        </w:smartTagPr>
        <w:r>
          <w:t xml:space="preserve">0,6 </w:t>
        </w:r>
        <w:proofErr w:type="spellStart"/>
        <w:r>
          <w:t>mm</w:t>
        </w:r>
      </w:smartTag>
      <w:proofErr w:type="spellEnd"/>
      <w:r>
        <w:t>. Nie wolno stosować do malowania mechanicznego farby, w której osad na dnie opakowania nie daje się całkowicie wymieszać lub na jej powierzchni znajduje się kożuch.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Farbę należy nakładać równomierną warstwą o grubości ustalonej w SST, zachowując wymiary i ostrość krawędzi. Grubość nanoszonej warstwy zaleca się kontrolować przy pomocy grzebienia pomiarowego na płytce szklanej lub metalowej podkładanej na drodze </w:t>
      </w:r>
      <w:proofErr w:type="spellStart"/>
      <w:r>
        <w:t>malowarki</w:t>
      </w:r>
      <w:proofErr w:type="spellEnd"/>
      <w:r>
        <w:t>. Ilość farby zużyta w czasie prac, określona przez średnie zużycie na metr kwadratowy nie może się różnić od ilości ustalonej, więcej niż o 20%.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Wszystkie większe prace powinny być wykonane przy użyciu samojezdnych </w:t>
      </w:r>
      <w:proofErr w:type="spellStart"/>
      <w:r>
        <w:t>malowarek</w:t>
      </w:r>
      <w:proofErr w:type="spellEnd"/>
      <w:r>
        <w:t xml:space="preserve"> z automatycznym podziałem linii i posypywaniem kulkami szklanymi z ew. materiałem </w:t>
      </w:r>
      <w:proofErr w:type="spellStart"/>
      <w:r>
        <w:t>uszorstniającym</w:t>
      </w:r>
      <w:proofErr w:type="spellEnd"/>
      <w:r>
        <w:t>. W przypadku mniejszych prac, wielkość, wydajność i jakość sprzętu należy dostosować do zakresu i rozmiaru prac. Decyzję dotyczącą rodzaju sprzętu i sposobu wykonania znakowania podejmuje Inżynier na wniosek Wykonawcy.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5.6.3. </w:t>
      </w:r>
      <w:r>
        <w:t>Wykonanie znakowania drogi materiałami grubowarstwowymi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Materiał znakujący należy nakładać równomierną warstwą o grubości ustalonej w SST, zachowując wymiary i ostrość krawędzi. Grubość nanoszonej warstwy zaleca się kontrolować przy pomocy grzebienia pomiarowego na płytce szklanej lub metalowej, podkładanej na drodze </w:t>
      </w:r>
      <w:proofErr w:type="spellStart"/>
      <w:r>
        <w:t>malowarki</w:t>
      </w:r>
      <w:proofErr w:type="spellEnd"/>
      <w:r>
        <w:t>. Ilość materiału zużyta w czasie prac, określona przez średnie zużycie na metr kwadratowy, nie może się różnić od ilości ustalonej, więcej niż o 20%.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 przypadku mas termoplastycznych wszystkie większe prace powinny być wykonywane przy użyciu urządzeń samojezdnych z automatycznym podziałem linii i posypywaniem kulkami szklanymi z ew. materiałem </w:t>
      </w:r>
      <w:proofErr w:type="spellStart"/>
      <w:r>
        <w:t>uszorstniającym</w:t>
      </w:r>
      <w:proofErr w:type="spellEnd"/>
      <w:r>
        <w:t xml:space="preserve">. W przypadku mniejszych prac, wielkość, wydajność i jakość sprzętu należy dostosować do ich zakresu i rozmiaru. Decyzję dotyczącą rodzaju sprzętu i sposobu wykonania znakowania podejmuje Inżynier na wniosek Wykonawcy. W przypadku </w:t>
      </w:r>
      <w:r>
        <w:lastRenderedPageBreak/>
        <w:t>znakowania nawierzchni betonowej należy zastosować podkład (</w:t>
      </w:r>
      <w:proofErr w:type="spellStart"/>
      <w:r>
        <w:t>primer</w:t>
      </w:r>
      <w:proofErr w:type="spellEnd"/>
      <w:r>
        <w:t>) poprawiający przyczepność nakładanego termoplastu do nawierzchni.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dwuskładnikowych mas chemoutwardzalnych prace można wykonywać ręcznie, przy użyciu prostych urządzeń, np. typu „</w:t>
      </w:r>
      <w:proofErr w:type="spellStart"/>
      <w:r>
        <w:t>Plastomarker</w:t>
      </w:r>
      <w:proofErr w:type="spellEnd"/>
      <w:r>
        <w:t>” lub w inny sposób zaakceptowany przez Inżyniera.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5.6.4. </w:t>
      </w:r>
      <w:r>
        <w:t>Wykonanie znakowania drogi punktowymi elementami odblaskowymi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CD4320" w:rsidRDefault="00CD4320" w:rsidP="00ED602D">
      <w:pPr>
        <w:numPr>
          <w:ilvl w:val="12"/>
          <w:numId w:val="0"/>
        </w:numPr>
      </w:pPr>
      <w:r>
        <w:tab/>
        <w:t>Przy wykonywaniu znakowania punktowymi elementami odblaskowymi należy zwracać szczególną uwagę na staranne mocowanie elementów do podłoża, od czego zależy trwałość wykonanego oznakowania.</w:t>
      </w:r>
    </w:p>
    <w:p w:rsidR="00CD4320" w:rsidRDefault="00CD4320" w:rsidP="00ED602D">
      <w:pPr>
        <w:numPr>
          <w:ilvl w:val="12"/>
          <w:numId w:val="0"/>
        </w:numPr>
      </w:pPr>
      <w:r>
        <w:tab/>
        <w:t>Nie wolno zmieniać ustalonego przez producenta rodzaju kleju z uwagi na możliwość uzyskania różnej jego przyczepności do nawierzchni i do materiałów, z których wykonano punktowe elementy odblaskowe.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znakowania nawierzchni betonowych należy zastosować podkład (</w:t>
      </w:r>
      <w:proofErr w:type="spellStart"/>
      <w:r>
        <w:t>primer</w:t>
      </w:r>
      <w:proofErr w:type="spellEnd"/>
      <w:r>
        <w:t>) poprawiający przyczepność przyklejanych punktowych elementów odblaskowych do nawierzchni.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5.7. Usuwanie oznakowania poziomego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konieczności usunięcia istniejącego oznakowania poziomego, czynność tę należy wykonać jak najmniej uszkadzając nawierzchnię.</w:t>
      </w:r>
    </w:p>
    <w:p w:rsidR="00CD4320" w:rsidRDefault="00CD4320" w:rsidP="00ED602D">
      <w:pPr>
        <w:numPr>
          <w:ilvl w:val="12"/>
          <w:numId w:val="0"/>
        </w:numPr>
      </w:pPr>
      <w:r>
        <w:tab/>
        <w:t>Zaleca się wykonywać usuwanie oznakowania:</w:t>
      </w:r>
    </w:p>
    <w:p w:rsidR="00CD4320" w:rsidRDefault="00CD4320" w:rsidP="00ED602D">
      <w:pPr>
        <w:numPr>
          <w:ilvl w:val="0"/>
          <w:numId w:val="1"/>
        </w:numPr>
      </w:pPr>
      <w:r>
        <w:t>cienkowarstwowego, metodą: frezowania, piaskowania, trawienia, wypalania lub zamalowania,</w:t>
      </w:r>
    </w:p>
    <w:p w:rsidR="00CD4320" w:rsidRDefault="00CD4320" w:rsidP="00ED602D">
      <w:pPr>
        <w:numPr>
          <w:ilvl w:val="0"/>
          <w:numId w:val="1"/>
        </w:numPr>
      </w:pPr>
      <w:r>
        <w:t>grubowarstwowego, metodą frezowania,</w:t>
      </w:r>
    </w:p>
    <w:p w:rsidR="00CD4320" w:rsidRDefault="00CD4320" w:rsidP="00ED602D">
      <w:pPr>
        <w:numPr>
          <w:ilvl w:val="0"/>
          <w:numId w:val="1"/>
        </w:numPr>
      </w:pPr>
      <w:r>
        <w:t>punktowego, prostymi narzędziami mechanicznymi.</w:t>
      </w:r>
    </w:p>
    <w:p w:rsidR="00CD4320" w:rsidRDefault="00CD4320" w:rsidP="00ED602D">
      <w:pPr>
        <w:numPr>
          <w:ilvl w:val="12"/>
          <w:numId w:val="0"/>
        </w:numPr>
      </w:pPr>
      <w:r>
        <w:tab/>
        <w:t>Środki zastosowane do usunięcia oznakowania nie mogą wpływać ujemnie na przyczepność nowego oznakowania do podłoża, na jego szorstkość, trwałość oraz na właściwości podłoża.</w:t>
      </w:r>
    </w:p>
    <w:p w:rsidR="00CD4320" w:rsidRDefault="00CD4320" w:rsidP="00ED602D">
      <w:pPr>
        <w:numPr>
          <w:ilvl w:val="12"/>
          <w:numId w:val="0"/>
        </w:numPr>
      </w:pPr>
      <w:r>
        <w:tab/>
        <w:t>Usuwanie oznakowania na czas robót drogowych może być wykonane przez zamalowanie nietrwałą farbą barwy czarnej.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Materiały pozostałe po usunięciu oznakowania należy usunąć z drogi tak, aby nie zanieczyszczały środowiska, w miejsce zaakceptowane przez Inżyniera.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3" w:name="_Toc420816685"/>
      <w:r>
        <w:t>6. kontrola jakości robót</w:t>
      </w:r>
      <w:bookmarkEnd w:id="13"/>
    </w:p>
    <w:p w:rsidR="00CD4320" w:rsidRDefault="00CD4320" w:rsidP="00ED602D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 xml:space="preserve">6.2. Badanie przygotowania podłoża i </w:t>
      </w:r>
      <w:proofErr w:type="spellStart"/>
      <w:r>
        <w:t>przedznakowania</w:t>
      </w:r>
      <w:proofErr w:type="spellEnd"/>
    </w:p>
    <w:p w:rsidR="00CD4320" w:rsidRDefault="00CD4320" w:rsidP="00ED602D">
      <w:pPr>
        <w:numPr>
          <w:ilvl w:val="12"/>
          <w:numId w:val="0"/>
        </w:numPr>
      </w:pPr>
      <w:r>
        <w:tab/>
        <w:t>Powierzchnia jezdni przed wykonaniem znakowania poziomego musi być całkowicie czysta i sucha.</w:t>
      </w:r>
    </w:p>
    <w:p w:rsidR="00CD4320" w:rsidRDefault="00CD4320" w:rsidP="00ED602D">
      <w:pPr>
        <w:numPr>
          <w:ilvl w:val="12"/>
          <w:numId w:val="0"/>
        </w:numPr>
      </w:pPr>
      <w:r>
        <w:tab/>
      </w:r>
      <w:proofErr w:type="spellStart"/>
      <w:r>
        <w:t>Przedznakowanie</w:t>
      </w:r>
      <w:proofErr w:type="spellEnd"/>
      <w:r>
        <w:t xml:space="preserve"> powinno być wykonane zgodnie z wymaganiami punktu 5.5.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6.3. Badania wykonania oznakowania poziomego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6.3.1. </w:t>
      </w:r>
      <w:r>
        <w:t>Wymagania wobec oznakowania poziomego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6.3.1.1. Widzialność w dzień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Widzialność oznakowania w dzień jest określona współczynnikiem luminancji i barwą oznakowania.</w:t>
      </w:r>
    </w:p>
    <w:p w:rsidR="00CD4320" w:rsidRDefault="00CD4320" w:rsidP="00ED602D">
      <w:pPr>
        <w:numPr>
          <w:ilvl w:val="12"/>
          <w:numId w:val="0"/>
        </w:numPr>
      </w:pPr>
      <w:r>
        <w:tab/>
        <w:t>Do określenia odbicia światła dziennego lub odbicia oświetlenia drogi od oznakowania stosuje się współczynnik luminancji w świetle rozproszonym Q = L/E, gdzie:</w:t>
      </w:r>
    </w:p>
    <w:p w:rsidR="00CD4320" w:rsidRDefault="00CD4320" w:rsidP="00ED602D">
      <w:pPr>
        <w:numPr>
          <w:ilvl w:val="12"/>
          <w:numId w:val="0"/>
        </w:numPr>
      </w:pPr>
      <w:r>
        <w:t>Q - współczynnik luminancji w świetle rozproszonym,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L - luminancja pola w świetle rozproszonym, mcd/m</w:t>
      </w:r>
      <w:r>
        <w:rPr>
          <w:vertAlign w:val="superscript"/>
        </w:rPr>
        <w:t>2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E - oświetlenie płaszczyzny pola, lx.</w:t>
      </w:r>
    </w:p>
    <w:p w:rsidR="00CD4320" w:rsidRDefault="00CD4320" w:rsidP="00ED602D">
      <w:pPr>
        <w:numPr>
          <w:ilvl w:val="12"/>
          <w:numId w:val="0"/>
        </w:numPr>
      </w:pPr>
      <w:r>
        <w:tab/>
        <w:t>Pomiary luminancji w świetle rozproszonym wykonuje się w praktyce miernikiem luminancji wg POD-97 [4]. Wartość współczynnika Q powinna wynosić dla oznakowania świeżego, barwy:</w:t>
      </w:r>
    </w:p>
    <w:p w:rsidR="00CD4320" w:rsidRDefault="00CD4320" w:rsidP="00ED602D">
      <w:pPr>
        <w:numPr>
          <w:ilvl w:val="0"/>
          <w:numId w:val="1"/>
        </w:numPr>
      </w:pPr>
      <w:r>
        <w:t>białej na nawierzchni asfaltowej, co najmniej 130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białej na nawierzchni betonowej, co najmniej 160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</w:pPr>
      <w:r>
        <w:lastRenderedPageBreak/>
        <w:tab/>
        <w:t xml:space="preserve">Pomiar współczynnika luminancji w świetle rozproszonym może być zastąpiony pomiarem współczynnika luminancji </w:t>
      </w:r>
      <w:r>
        <w:sym w:font="Symbol" w:char="F062"/>
      </w:r>
      <w:r>
        <w:t xml:space="preserve">, wg POD-97 [4]. Wartość współczynnika </w:t>
      </w:r>
      <w:r>
        <w:sym w:font="Symbol" w:char="F062"/>
      </w:r>
      <w:r>
        <w:t xml:space="preserve"> powinna wynosić dla oznakowania świeżego, barwy:</w:t>
      </w:r>
    </w:p>
    <w:p w:rsidR="00CD4320" w:rsidRDefault="00CD4320" w:rsidP="00ED602D">
      <w:pPr>
        <w:numPr>
          <w:ilvl w:val="0"/>
          <w:numId w:val="1"/>
        </w:numPr>
      </w:pPr>
      <w:r>
        <w:t>białej, co najmniej 0,60,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0,40.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Wartość współczynnika </w:t>
      </w:r>
      <w:r>
        <w:sym w:font="Symbol" w:char="F062"/>
      </w:r>
      <w:r>
        <w:t xml:space="preserve"> powinna wynosić dla oznakowania używanego barwy:</w:t>
      </w:r>
    </w:p>
    <w:p w:rsidR="00CD4320" w:rsidRDefault="00CD4320" w:rsidP="00ED602D">
      <w:pPr>
        <w:numPr>
          <w:ilvl w:val="0"/>
          <w:numId w:val="1"/>
        </w:numPr>
      </w:pPr>
      <w:r>
        <w:t>białej, po 12 miesiącach używalności, co najmniej 0,30,</w:t>
      </w:r>
    </w:p>
    <w:p w:rsidR="00CD4320" w:rsidRDefault="00CD4320" w:rsidP="00ED602D">
      <w:pPr>
        <w:numPr>
          <w:ilvl w:val="0"/>
          <w:numId w:val="1"/>
        </w:numPr>
      </w:pPr>
      <w:r>
        <w:t>żółtej, po 1 miesiącu używalności, co najmniej 0,20.</w:t>
      </w:r>
    </w:p>
    <w:p w:rsidR="00CD4320" w:rsidRDefault="00CD4320" w:rsidP="00ED602D">
      <w:pPr>
        <w:numPr>
          <w:ilvl w:val="12"/>
          <w:numId w:val="0"/>
        </w:numPr>
      </w:pPr>
      <w:r>
        <w:tab/>
        <w:t>Barwa oznakowania powinna być określona wg POD-97 [4] przez współrzędne chromatyczności x i y, które dla suchego oznakowania powinny leżeć w obszarze zdefiniowanym przez cztery punkty narożne: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062"/>
        <w:gridCol w:w="1062"/>
        <w:gridCol w:w="1062"/>
        <w:gridCol w:w="1062"/>
        <w:gridCol w:w="1062"/>
      </w:tblGrid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</w:pPr>
            <w:r>
              <w:t>Punkt narożny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4</w:t>
            </w:r>
          </w:p>
        </w:tc>
      </w:tr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Oznakowanie białe: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x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0,34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0,38</w:t>
            </w:r>
          </w:p>
        </w:tc>
      </w:tr>
      <w:tr w:rsidR="00CD4320">
        <w:tc>
          <w:tcPr>
            <w:tcW w:w="2197" w:type="dxa"/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Oznakowanie żółte: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x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y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0,5</w:t>
            </w:r>
          </w:p>
        </w:tc>
        <w:tc>
          <w:tcPr>
            <w:tcW w:w="1062" w:type="dxa"/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0,43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0,48</w:t>
            </w:r>
          </w:p>
        </w:tc>
      </w:tr>
    </w:tbl>
    <w:p w:rsidR="00CD4320" w:rsidRDefault="00CD4320" w:rsidP="00ED602D">
      <w:pPr>
        <w:numPr>
          <w:ilvl w:val="12"/>
          <w:numId w:val="0"/>
        </w:numPr>
        <w:spacing w:before="120" w:after="120"/>
      </w:pPr>
      <w:r>
        <w:t>6.3.1.2. Widzialność w nocy</w:t>
      </w:r>
    </w:p>
    <w:p w:rsidR="00CD4320" w:rsidRDefault="00CD4320" w:rsidP="00ED602D">
      <w:pPr>
        <w:numPr>
          <w:ilvl w:val="12"/>
          <w:numId w:val="0"/>
        </w:numPr>
      </w:pPr>
      <w:r>
        <w:tab/>
        <w:t>Za miarę widzialności w nocy przyjęto powierzchniowy współczynnik odblasku R</w:t>
      </w:r>
      <w:r>
        <w:rPr>
          <w:vertAlign w:val="subscript"/>
        </w:rPr>
        <w:t>L</w:t>
      </w:r>
      <w:r>
        <w:t>, określany wg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świeżego w stanie suchym, barwy:</w:t>
      </w:r>
    </w:p>
    <w:p w:rsidR="00CD4320" w:rsidRDefault="00CD4320" w:rsidP="00ED602D">
      <w:pPr>
        <w:numPr>
          <w:ilvl w:val="0"/>
          <w:numId w:val="1"/>
        </w:numPr>
      </w:pPr>
      <w:r>
        <w:t>białej,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co najmniej 200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używanego:</w:t>
      </w:r>
    </w:p>
    <w:p w:rsidR="00CD4320" w:rsidRDefault="00CD4320" w:rsidP="00ED602D">
      <w:pPr>
        <w:numPr>
          <w:ilvl w:val="12"/>
          <w:numId w:val="0"/>
        </w:numPr>
      </w:pPr>
      <w:r>
        <w:t>a) cienko- i grubowarstwowego barwy:</w:t>
      </w:r>
    </w:p>
    <w:p w:rsidR="00CD4320" w:rsidRDefault="00CD4320" w:rsidP="00ED602D">
      <w:pPr>
        <w:numPr>
          <w:ilvl w:val="0"/>
          <w:numId w:val="1"/>
        </w:numPr>
      </w:pPr>
      <w:r>
        <w:t>białej, po 12 miesiącach eksploatacji,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żółtej, po 1 miesiącu eksploatacji, co najmniej 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12"/>
          <w:numId w:val="0"/>
        </w:numPr>
      </w:pPr>
      <w:r>
        <w:t>b) folii:</w:t>
      </w:r>
    </w:p>
    <w:p w:rsidR="00CD4320" w:rsidRDefault="00CD4320" w:rsidP="00ED602D">
      <w:pPr>
        <w:numPr>
          <w:ilvl w:val="0"/>
          <w:numId w:val="1"/>
        </w:numPr>
      </w:pPr>
      <w:r>
        <w:t>dla oznakowań trwałych i długotrwałych (białych),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dla oznakowań tymczasowych (żółtych), co najmniej 300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6.3.1.3. Szorstkość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Miarą szorstkości oznakowania jest wartość wskaźnika szorstkości SRT (</w:t>
      </w:r>
      <w:proofErr w:type="spellStart"/>
      <w:r>
        <w:t>Skid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Tester) mierzona wahadłem angielskim, wg POD-97 [4]. Wartość SRT symuluje warunki, w których pojazd wyposażony w typowe opony hamuje z blokadą kół przy prędkości </w:t>
      </w:r>
      <w:smartTag w:uri="urn:schemas-microsoft-com:office:smarttags" w:element="metricconverter">
        <w:smartTagPr>
          <w:attr w:name="ProductID" w:val="50 km/h"/>
        </w:smartTagPr>
        <w:r>
          <w:t>50 km/h</w:t>
        </w:r>
      </w:smartTag>
      <w:r>
        <w:t xml:space="preserve"> na mokrej  nawierzchni.</w:t>
      </w:r>
    </w:p>
    <w:p w:rsidR="00CD4320" w:rsidRDefault="00CD4320" w:rsidP="00ED602D">
      <w:pPr>
        <w:numPr>
          <w:ilvl w:val="12"/>
          <w:numId w:val="0"/>
        </w:numPr>
      </w:pPr>
      <w:r>
        <w:tab/>
        <w:t>Wymaga się, aby wartość wskaźnika szorstkości SRT wynosiła na oznakowaniu:</w:t>
      </w:r>
    </w:p>
    <w:p w:rsidR="00CD4320" w:rsidRDefault="00CD4320" w:rsidP="00ED602D">
      <w:pPr>
        <w:numPr>
          <w:ilvl w:val="0"/>
          <w:numId w:val="1"/>
        </w:numPr>
      </w:pPr>
      <w:r>
        <w:t>świeżym, co najmniej 50 jednostek SRT,</w:t>
      </w:r>
    </w:p>
    <w:p w:rsidR="00CD4320" w:rsidRDefault="00CD4320" w:rsidP="00ED602D">
      <w:pPr>
        <w:numPr>
          <w:ilvl w:val="0"/>
          <w:numId w:val="1"/>
        </w:numPr>
      </w:pPr>
      <w:r>
        <w:t>używanym, w ciągu całego okresu użytkowania, co najmniej 45 jednostek SRT.</w:t>
      </w:r>
    </w:p>
    <w:p w:rsidR="00CD4320" w:rsidRDefault="00CD4320" w:rsidP="00ED602D">
      <w:pPr>
        <w:numPr>
          <w:ilvl w:val="12"/>
          <w:numId w:val="0"/>
        </w:numPr>
      </w:pPr>
      <w:r>
        <w:tab/>
        <w:t>Dla punktowych elementów odblaskowych badań szorstkości nie wykonuje się.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>6.3.1.4. Trwałość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Trwałość oznakowania oceniana jako stopień zużycia w 10-stopniowej skali na zasadzie porównania z wzorcami, wg POD-97 [4], powinna wynosić po 12-miesięcznym okresie eksploatacji oznakowania wykonanego:</w:t>
      </w:r>
    </w:p>
    <w:p w:rsidR="00CD4320" w:rsidRDefault="00CD4320" w:rsidP="00ED602D">
      <w:pPr>
        <w:numPr>
          <w:ilvl w:val="0"/>
          <w:numId w:val="1"/>
        </w:numPr>
      </w:pPr>
      <w:r>
        <w:t>farbami wodorozcieńczalnymi, co najmniej 5,</w:t>
      </w:r>
    </w:p>
    <w:p w:rsidR="00CD4320" w:rsidRDefault="00CD4320" w:rsidP="00ED602D">
      <w:pPr>
        <w:numPr>
          <w:ilvl w:val="0"/>
          <w:numId w:val="1"/>
        </w:numPr>
      </w:pPr>
      <w:r>
        <w:t>pozostałymi materiałami, co najmniej 6.</w:t>
      </w:r>
    </w:p>
    <w:p w:rsidR="00CD4320" w:rsidRDefault="00CD4320">
      <w:pPr>
        <w:keepNext/>
        <w:spacing w:before="120"/>
      </w:pPr>
      <w:r>
        <w:t>6.3.1.5. Czas schnięcia oznakowania (wzgl. czas przejezdności oznakowania)</w:t>
      </w:r>
    </w:p>
    <w:p w:rsidR="00CD4320" w:rsidRDefault="00CD4320">
      <w:pPr>
        <w:spacing w:before="120"/>
      </w:pPr>
      <w:r>
        <w:tab/>
        <w:t>Za czas schnięcia oznakowania przyjmuje się czas upływający między wykonaniem oznakowania a jego oddaniem do ruchu.</w:t>
      </w:r>
    </w:p>
    <w:p w:rsidR="00CD4320" w:rsidRDefault="00CD4320">
      <w:r>
        <w:tab/>
        <w:t>Czas schnięcia oznakowania nie powinien przekraczać czasu gwarantowanego przez producenta, z tym że nie może przekraczać 2 godzin.</w:t>
      </w:r>
    </w:p>
    <w:p w:rsidR="00CD4320" w:rsidRDefault="00CD4320">
      <w:pPr>
        <w:spacing w:before="120"/>
      </w:pPr>
      <w:r>
        <w:t>6.3.1.6. Grubość oznakowania</w:t>
      </w:r>
    </w:p>
    <w:p w:rsidR="00CD4320" w:rsidRDefault="00CD4320">
      <w:pPr>
        <w:spacing w:before="120"/>
      </w:pPr>
      <w:r>
        <w:tab/>
        <w:t>Grubość oznakowania, tj. podwyższenie ponad górną powierzchnię nawierzchni, powinna wynosić dla:</w:t>
      </w:r>
    </w:p>
    <w:p w:rsidR="00CD4320" w:rsidRDefault="00CD4320" w:rsidP="00ED602D">
      <w:pPr>
        <w:numPr>
          <w:ilvl w:val="0"/>
          <w:numId w:val="3"/>
        </w:numPr>
      </w:pPr>
      <w:r>
        <w:lastRenderedPageBreak/>
        <w:t xml:space="preserve">oznakowania cienkowarstwowego (grubość na mokro bez kulek szklanych), co najwyżej 800 </w:t>
      </w:r>
      <w:r>
        <w:sym w:font="Symbol" w:char="F06D"/>
      </w:r>
      <w:r>
        <w:t>m,</w:t>
      </w:r>
    </w:p>
    <w:p w:rsidR="00CD4320" w:rsidRDefault="00CD4320" w:rsidP="00ED602D">
      <w:pPr>
        <w:numPr>
          <w:ilvl w:val="0"/>
          <w:numId w:val="3"/>
        </w:numPr>
      </w:pPr>
      <w:r>
        <w:t xml:space="preserve">oznakowania grubowarstwowego, co najwyżej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CD4320" w:rsidRDefault="00CD4320" w:rsidP="00ED602D">
      <w:pPr>
        <w:numPr>
          <w:ilvl w:val="0"/>
          <w:numId w:val="3"/>
        </w:numPr>
      </w:pPr>
      <w:r>
        <w:t xml:space="preserve">punktowych elementów odblaskowych umieszczanych na części jezdnej drogi, co najwyżej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, a w uzasadnionych przypadkach ustalonych w dokumentacji projektowej, co najwyżej </w:t>
      </w:r>
      <w:smartTag w:uri="urn:schemas-microsoft-com:office:smarttags" w:element="metricconverter">
        <w:smartTagPr>
          <w:attr w:name="ProductID" w:val="25 mm"/>
        </w:smartTagPr>
        <w:r>
          <w:t xml:space="preserve">25 </w:t>
        </w:r>
        <w:proofErr w:type="spellStart"/>
        <w:r>
          <w:t>mm</w:t>
        </w:r>
      </w:smartTag>
      <w:proofErr w:type="spellEnd"/>
      <w:r>
        <w:t>.</w:t>
      </w:r>
    </w:p>
    <w:p w:rsidR="00CD4320" w:rsidRDefault="00CD4320">
      <w:r>
        <w:tab/>
        <w:t>Wymagania te nie obowiązują, jeśli nawierzchnia pod znakowaniem jest wyfrezowana.</w:t>
      </w:r>
    </w:p>
    <w:p w:rsidR="00CD4320" w:rsidRDefault="00CD4320">
      <w:pPr>
        <w:spacing w:before="120"/>
      </w:pPr>
      <w:r>
        <w:rPr>
          <w:b/>
        </w:rPr>
        <w:t xml:space="preserve">6.3.2. </w:t>
      </w:r>
      <w:r>
        <w:t>Badania wykonania znakowania poziomego z materiału cienkowarstwowego lub</w:t>
      </w:r>
    </w:p>
    <w:p w:rsidR="00CD4320" w:rsidRDefault="00CD4320">
      <w:r>
        <w:t xml:space="preserve">           grubowarstwowego</w:t>
      </w:r>
    </w:p>
    <w:p w:rsidR="00CD4320" w:rsidRDefault="00CD4320">
      <w:pPr>
        <w:spacing w:before="120"/>
      </w:pPr>
      <w:r>
        <w:tab/>
        <w:t>Wykonawca wykonując znakowanie poziome z materiału cienko- lub grubowarstwowego przeprowadza przed rozpoczęciem każdej pracy oraz w czasie jej wykonywania, co najmniej raz dziennie, lub zgodnie z ustaleniem SST, następujące badania:</w:t>
      </w:r>
    </w:p>
    <w:p w:rsidR="00CD4320" w:rsidRDefault="00CD4320">
      <w:r>
        <w:t>a) przed rozpoczęciem pracy:</w:t>
      </w:r>
    </w:p>
    <w:p w:rsidR="00CD4320" w:rsidRDefault="00CD4320" w:rsidP="00ED602D">
      <w:pPr>
        <w:numPr>
          <w:ilvl w:val="0"/>
          <w:numId w:val="1"/>
        </w:numPr>
      </w:pPr>
      <w:r>
        <w:t>sprawdzenie oznakowania opakowań,</w:t>
      </w:r>
    </w:p>
    <w:p w:rsidR="00CD4320" w:rsidRDefault="00CD4320" w:rsidP="00ED602D">
      <w:pPr>
        <w:numPr>
          <w:ilvl w:val="0"/>
          <w:numId w:val="1"/>
        </w:numPr>
      </w:pPr>
      <w:r>
        <w:t>wizualną ocenę stanu  materiału, w zakresie jego jednorodności i widocznych wad,</w:t>
      </w:r>
    </w:p>
    <w:p w:rsidR="00CD4320" w:rsidRDefault="00CD4320" w:rsidP="00ED602D">
      <w:pPr>
        <w:numPr>
          <w:ilvl w:val="0"/>
          <w:numId w:val="1"/>
        </w:numPr>
      </w:pPr>
      <w:r>
        <w:t>pomiar wilgotności względnej powietrza,</w:t>
      </w:r>
    </w:p>
    <w:p w:rsidR="00CD4320" w:rsidRDefault="00CD4320" w:rsidP="00ED602D">
      <w:pPr>
        <w:numPr>
          <w:ilvl w:val="0"/>
          <w:numId w:val="1"/>
        </w:numPr>
      </w:pPr>
      <w:r>
        <w:t>pomiar temperatury powietrza i nawierzchni,</w:t>
      </w:r>
    </w:p>
    <w:p w:rsidR="00CD4320" w:rsidRDefault="00CD4320" w:rsidP="00ED602D">
      <w:pPr>
        <w:numPr>
          <w:ilvl w:val="0"/>
          <w:numId w:val="1"/>
        </w:numPr>
      </w:pPr>
      <w:r>
        <w:t>badanie lepkości farby (cienkowarstwowej), wg POD-97 [4],</w:t>
      </w:r>
    </w:p>
    <w:p w:rsidR="00CD4320" w:rsidRDefault="00CD4320" w:rsidP="00ED602D">
      <w:pPr>
        <w:numPr>
          <w:ilvl w:val="12"/>
          <w:numId w:val="0"/>
        </w:numPr>
      </w:pPr>
      <w:r>
        <w:t>b) w czasie wykonywania pracy:</w:t>
      </w:r>
    </w:p>
    <w:p w:rsidR="00CD4320" w:rsidRDefault="00CD4320" w:rsidP="00ED602D">
      <w:pPr>
        <w:numPr>
          <w:ilvl w:val="0"/>
          <w:numId w:val="1"/>
        </w:numPr>
      </w:pPr>
      <w:r>
        <w:t>pomiar grubości warstwy oznakowania,</w:t>
      </w:r>
    </w:p>
    <w:p w:rsidR="00CD4320" w:rsidRDefault="00CD4320" w:rsidP="00ED602D">
      <w:pPr>
        <w:numPr>
          <w:ilvl w:val="0"/>
          <w:numId w:val="1"/>
        </w:numPr>
      </w:pPr>
      <w:r>
        <w:t>pomiar czasu schnięcia, wg POD-97 [4],</w:t>
      </w:r>
    </w:p>
    <w:p w:rsidR="00CD4320" w:rsidRDefault="00CD4320" w:rsidP="00ED602D">
      <w:pPr>
        <w:numPr>
          <w:ilvl w:val="0"/>
          <w:numId w:val="1"/>
        </w:numPr>
      </w:pPr>
      <w:r>
        <w:t>wizualną ocenę równomierności rozłożenia kulek szklanych,</w:t>
      </w:r>
    </w:p>
    <w:p w:rsidR="00CD4320" w:rsidRDefault="00CD4320" w:rsidP="00ED602D">
      <w:pPr>
        <w:numPr>
          <w:ilvl w:val="0"/>
          <w:numId w:val="1"/>
        </w:numPr>
      </w:pPr>
      <w:r>
        <w:t>pomiar poziomych wymiarów oznakowania, na zgodność z dokumentacją projektową i „Instrukcją o znakach drogowych poziomych” [3],</w:t>
      </w:r>
    </w:p>
    <w:p w:rsidR="00CD4320" w:rsidRDefault="00CD4320" w:rsidP="00ED602D">
      <w:pPr>
        <w:numPr>
          <w:ilvl w:val="0"/>
          <w:numId w:val="1"/>
        </w:numPr>
      </w:pPr>
      <w:r>
        <w:t>wizualną ocenę równomierności skropienia (rozłożenia materiału) na całej szerokości linii,</w:t>
      </w:r>
    </w:p>
    <w:p w:rsidR="00CD4320" w:rsidRDefault="00CD4320" w:rsidP="00ED602D">
      <w:pPr>
        <w:numPr>
          <w:ilvl w:val="0"/>
          <w:numId w:val="1"/>
        </w:numPr>
      </w:pPr>
      <w:r>
        <w:t>oznaczenia czasu przejezdności, wg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Protokół z przeprowadzonych badań wraz z jedną próbką na blasze (300 x 250        x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>) Wykonawca powinien przechować do czasu upływu okresu gwarancji.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  <w:r>
        <w:tab/>
        <w:t>W przypadku wątpliwości dotyczących wykonania oznakowania poziomego, Inżynier może zlecić wykonanie badań:</w:t>
      </w:r>
    </w:p>
    <w:p w:rsidR="00CD4320" w:rsidRDefault="00CD4320" w:rsidP="00ED602D">
      <w:pPr>
        <w:numPr>
          <w:ilvl w:val="0"/>
          <w:numId w:val="1"/>
        </w:numPr>
      </w:pPr>
      <w:r>
        <w:t>widzialności w dzień,</w:t>
      </w:r>
    </w:p>
    <w:p w:rsidR="00CD4320" w:rsidRDefault="00CD4320" w:rsidP="00ED602D">
      <w:pPr>
        <w:numPr>
          <w:ilvl w:val="0"/>
          <w:numId w:val="1"/>
        </w:numPr>
      </w:pPr>
      <w:r>
        <w:t>widzialności w nocy,</w:t>
      </w:r>
    </w:p>
    <w:p w:rsidR="00CD4320" w:rsidRDefault="00CD4320" w:rsidP="00ED602D">
      <w:pPr>
        <w:numPr>
          <w:ilvl w:val="0"/>
          <w:numId w:val="1"/>
        </w:numPr>
      </w:pPr>
      <w:r>
        <w:t>szorstkości,</w:t>
      </w:r>
    </w:p>
    <w:p w:rsidR="00CD4320" w:rsidRDefault="00CD4320" w:rsidP="00ED602D">
      <w:pPr>
        <w:numPr>
          <w:ilvl w:val="12"/>
          <w:numId w:val="0"/>
        </w:numPr>
      </w:pPr>
      <w:r>
        <w:t>odpowiadających wymaganiom podanym w punkcie 6.3.1 i wykonanych według metod określonych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 Jeżeli wyniki tych badań wykażą wadliwość wykonanego oznakowania to koszt badań ponosi Wykonawca, w przypadku przeciwnym - Zamawiający.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Badania wykonania znakowania poziomego z punktowych elementów odblaskowych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Wykonawca wykonując znakowanie z prefabrykowanych elementów odblaskowych przeprowadza, co najmniej raz dziennie lub zgodnie z ustaleniem SST, następujące badania:</w:t>
      </w:r>
    </w:p>
    <w:p w:rsidR="00CD4320" w:rsidRDefault="00CD4320" w:rsidP="00ED602D">
      <w:pPr>
        <w:numPr>
          <w:ilvl w:val="0"/>
          <w:numId w:val="1"/>
        </w:numPr>
      </w:pPr>
      <w:r>
        <w:t>sprawdzenie oznakowania opakowań,</w:t>
      </w:r>
    </w:p>
    <w:p w:rsidR="00CD4320" w:rsidRDefault="00CD4320" w:rsidP="00ED602D">
      <w:pPr>
        <w:numPr>
          <w:ilvl w:val="0"/>
          <w:numId w:val="1"/>
        </w:numPr>
      </w:pPr>
      <w:r>
        <w:t>sprawdzenie rodzaju stosowanego kleju lub innych elementów mocujących, zgodnie z zaleceniami SST,</w:t>
      </w:r>
    </w:p>
    <w:p w:rsidR="00CD4320" w:rsidRDefault="00CD4320" w:rsidP="00ED602D">
      <w:pPr>
        <w:numPr>
          <w:ilvl w:val="0"/>
          <w:numId w:val="1"/>
        </w:numPr>
      </w:pPr>
      <w:r>
        <w:t>wizualną ocenę stanu elementów, w zakresie ich kompletności i braku wad,</w:t>
      </w:r>
    </w:p>
    <w:p w:rsidR="00CD4320" w:rsidRDefault="00CD4320" w:rsidP="00ED602D">
      <w:pPr>
        <w:numPr>
          <w:ilvl w:val="0"/>
          <w:numId w:val="1"/>
        </w:numPr>
      </w:pPr>
      <w:r>
        <w:t>wilgotności względnej powietrza,</w:t>
      </w:r>
    </w:p>
    <w:p w:rsidR="00CD4320" w:rsidRDefault="00CD4320" w:rsidP="00ED602D">
      <w:pPr>
        <w:numPr>
          <w:ilvl w:val="0"/>
          <w:numId w:val="1"/>
        </w:numPr>
      </w:pPr>
      <w:r>
        <w:t>temperatury powietrza i nawierzchni,</w:t>
      </w:r>
    </w:p>
    <w:p w:rsidR="00CD4320" w:rsidRDefault="00CD4320" w:rsidP="00ED602D">
      <w:pPr>
        <w:numPr>
          <w:ilvl w:val="0"/>
          <w:numId w:val="1"/>
        </w:numPr>
      </w:pPr>
      <w:r>
        <w:t>pomiaru czasu oddania do ruchu (schnięcia),</w:t>
      </w:r>
    </w:p>
    <w:p w:rsidR="00CD4320" w:rsidRDefault="00CD4320" w:rsidP="00ED602D">
      <w:pPr>
        <w:numPr>
          <w:ilvl w:val="0"/>
          <w:numId w:val="1"/>
        </w:numPr>
      </w:pPr>
      <w:r>
        <w:t>wizualną ocenę liniowości przyklejenia elementów,</w:t>
      </w:r>
    </w:p>
    <w:p w:rsidR="00CD4320" w:rsidRDefault="00CD4320" w:rsidP="00ED602D">
      <w:pPr>
        <w:numPr>
          <w:ilvl w:val="0"/>
          <w:numId w:val="1"/>
        </w:numPr>
      </w:pPr>
      <w:r>
        <w:t>równomierności przyklejenia elementów na całej długości linii,</w:t>
      </w:r>
    </w:p>
    <w:p w:rsidR="00CD4320" w:rsidRDefault="00CD4320" w:rsidP="00ED602D">
      <w:pPr>
        <w:numPr>
          <w:ilvl w:val="0"/>
          <w:numId w:val="1"/>
        </w:numPr>
      </w:pPr>
      <w:r>
        <w:t>zgodności wykonania oznakowania z dokumentacja projektową i „Instrukcją o znakach drogowych poziomych” [3].</w:t>
      </w:r>
    </w:p>
    <w:p w:rsidR="00CD4320" w:rsidRDefault="00CD4320" w:rsidP="00ED602D">
      <w:pPr>
        <w:numPr>
          <w:ilvl w:val="12"/>
          <w:numId w:val="0"/>
        </w:numPr>
        <w:ind w:firstLine="709"/>
      </w:pPr>
      <w:r>
        <w:t>Protokół z przeprowadzonych badań wraz z próbkami przyklejanych elementów, w liczbie określonej w SST, Wykonawca przechowuje do czasu upływu okresu gwarancji.</w:t>
      </w:r>
    </w:p>
    <w:p w:rsidR="00CD4320" w:rsidRDefault="00CD4320" w:rsidP="00ED602D">
      <w:pPr>
        <w:numPr>
          <w:ilvl w:val="12"/>
          <w:numId w:val="0"/>
        </w:numPr>
      </w:pPr>
      <w:r>
        <w:tab/>
        <w:t>W przypadku wątpliwości dotyczących wykonania oznakowania poziomego Inżynier  może zlecić wykonanie badań:</w:t>
      </w:r>
    </w:p>
    <w:p w:rsidR="00CD4320" w:rsidRDefault="00CD4320" w:rsidP="00ED602D">
      <w:pPr>
        <w:numPr>
          <w:ilvl w:val="0"/>
          <w:numId w:val="1"/>
        </w:numPr>
      </w:pPr>
      <w:r>
        <w:t>widzialności w dzień,</w:t>
      </w:r>
    </w:p>
    <w:p w:rsidR="00CD4320" w:rsidRDefault="00CD4320" w:rsidP="00ED602D">
      <w:pPr>
        <w:numPr>
          <w:ilvl w:val="0"/>
          <w:numId w:val="1"/>
        </w:numPr>
      </w:pPr>
      <w:r>
        <w:t>widzialności w nocy,</w:t>
      </w:r>
    </w:p>
    <w:p w:rsidR="00CD4320" w:rsidRDefault="00CD4320" w:rsidP="00ED602D">
      <w:pPr>
        <w:numPr>
          <w:ilvl w:val="12"/>
          <w:numId w:val="0"/>
        </w:numPr>
      </w:pPr>
      <w:r>
        <w:lastRenderedPageBreak/>
        <w:t>odpowiadających wymaganiom podanym w punkcie 6.3.1 i wykonanych według metod określonych w „Warunkach technicznych POD-</w:t>
      </w:r>
      <w:smartTag w:uri="urn:schemas-microsoft-com:office:smarttags" w:element="metricconverter">
        <w:smartTagPr>
          <w:attr w:name="ProductID" w:val="97”"/>
        </w:smartTagPr>
        <w:r>
          <w:t>97”</w:t>
        </w:r>
      </w:smartTag>
      <w:r>
        <w:t xml:space="preserve"> [4]. Jeśli wyniki tych badań wykażą wadliwość wykonanego oznakowania to koszt badań ponosi Wykonawca, w przypadku przeciwnym - Zamawiający.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  <w:spacing w:before="120" w:after="120"/>
      </w:pPr>
      <w:r>
        <w:rPr>
          <w:b/>
        </w:rPr>
        <w:t xml:space="preserve">6.3.4. </w:t>
      </w:r>
      <w:r>
        <w:t>Zbiorcze zestawienie wymagań dla materiałów i wykonanego oznakowania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275"/>
        <w:gridCol w:w="1171"/>
        <w:gridCol w:w="1163"/>
        <w:gridCol w:w="8"/>
      </w:tblGrid>
      <w:tr w:rsidR="00CD4320">
        <w:trPr>
          <w:gridAfter w:val="1"/>
          <w:wAfter w:w="8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Materiały do znakowania</w:t>
            </w:r>
          </w:p>
        </w:tc>
      </w:tr>
      <w:tr w:rsidR="00CD4320">
        <w:tc>
          <w:tcPr>
            <w:tcW w:w="496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Rodzaj wymagania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 xml:space="preserve">Jednostka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cienkowars</w:t>
            </w:r>
            <w:proofErr w:type="spellEnd"/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twowego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grubowars</w:t>
            </w:r>
            <w:proofErr w:type="spellEnd"/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twowego</w:t>
            </w:r>
            <w:proofErr w:type="spellEnd"/>
          </w:p>
        </w:tc>
      </w:tr>
      <w:tr w:rsidR="00CD4320">
        <w:tc>
          <w:tcPr>
            <w:tcW w:w="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Zawartość składników lotnych w materiałach do znakowania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rozpuszczalników organicznych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rozpuszczalników aromatycznych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left"/>
            </w:pPr>
            <w:r>
              <w:t xml:space="preserve">- benzenu i rozpuszczalników   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left"/>
            </w:pPr>
            <w:r>
              <w:t xml:space="preserve">   chlorowanych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10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2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Współczynnik załamania światła kulek szklanych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proofErr w:type="spellStart"/>
            <w:r>
              <w:t>współcz</w:t>
            </w:r>
            <w:proofErr w:type="spellEnd"/>
            <w: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3E"/>
            </w:r>
            <w:r>
              <w:t xml:space="preserve"> 1,5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Współczynnik luminancji Q w świetle rozproszonym dla oznakowania świeżego barwy: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 na nawierzchni asfaltowej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Współczynnik luminancji </w:t>
            </w:r>
            <w:r>
              <w:sym w:font="Symbol" w:char="F062"/>
            </w:r>
            <w:r>
              <w:t xml:space="preserve"> dla oznakowania świeżego barwy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współcz</w:t>
            </w:r>
            <w:proofErr w:type="spellEnd"/>
            <w:r>
              <w:t xml:space="preserve">. </w:t>
            </w:r>
            <w:r>
              <w:sym w:font="Symbol" w:char="F062"/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współcz</w:t>
            </w:r>
            <w:proofErr w:type="spellEnd"/>
            <w:r>
              <w:t xml:space="preserve">. </w:t>
            </w:r>
            <w:r>
              <w:sym w:font="Symbol" w:char="F062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0,60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Powierzchniowy współczynnik odblasku dla oznakowania świeżego w stanie suchym barwy: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białej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żółtej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mcd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200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200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Szorstkość oznakowania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świeżego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używanego (po 3 mies.)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Trwałość oznakowania wykonanego: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farbami wodorozcieńczalnymi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- pozostałymi materiałami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wskaźnik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</w:pPr>
            <w:r>
              <w:t>Czas schnięcia materiału na nawierzchni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A3"/>
            </w:r>
            <w:r>
              <w:t xml:space="preserve"> 2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Grubość oznakowania nad powierzchnią nawierzchni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- bez </w:t>
            </w:r>
            <w:proofErr w:type="spellStart"/>
            <w:r>
              <w:t>mikrokulek</w:t>
            </w:r>
            <w:proofErr w:type="spellEnd"/>
            <w:r>
              <w:t xml:space="preserve"> szklanych</w:t>
            </w:r>
          </w:p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 xml:space="preserve">- z </w:t>
            </w:r>
            <w:proofErr w:type="spellStart"/>
            <w:r>
              <w:t>mikrokulkami</w:t>
            </w:r>
            <w:proofErr w:type="spellEnd"/>
            <w:r>
              <w:t xml:space="preserve"> szklanymi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6D"/>
            </w:r>
            <w:r>
              <w:t>m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mm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800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5</w:t>
            </w:r>
          </w:p>
        </w:tc>
      </w:tr>
      <w:tr w:rsidR="00CD43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</w:pPr>
            <w:r>
              <w:t>Okres stałości właściwości materiałów do znakowania przy składowaniu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miesięcy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20" w:rsidRDefault="00CD4320" w:rsidP="00ED602D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</w:tbl>
    <w:p w:rsidR="00CD4320" w:rsidRDefault="00CD4320" w:rsidP="00ED602D">
      <w:pPr>
        <w:numPr>
          <w:ilvl w:val="12"/>
          <w:numId w:val="0"/>
        </w:numPr>
        <w:spacing w:before="120"/>
      </w:pPr>
    </w:p>
    <w:p w:rsidR="00CD4320" w:rsidRDefault="00CD4320" w:rsidP="00ED602D">
      <w:pPr>
        <w:pStyle w:val="Nagwek2"/>
        <w:numPr>
          <w:ilvl w:val="12"/>
          <w:numId w:val="0"/>
        </w:numPr>
      </w:pPr>
      <w:r>
        <w:t>6.4. Tolerancje wymiarów oznakowania</w:t>
      </w:r>
    </w:p>
    <w:p w:rsidR="00CD4320" w:rsidRDefault="00CD4320" w:rsidP="00ED602D">
      <w:pPr>
        <w:numPr>
          <w:ilvl w:val="12"/>
          <w:numId w:val="0"/>
        </w:numPr>
      </w:pPr>
      <w:r>
        <w:rPr>
          <w:b/>
        </w:rPr>
        <w:t xml:space="preserve">6.4.1. </w:t>
      </w:r>
      <w:r>
        <w:t>Tolerancje nowo wykonanego oznakowania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tab/>
        <w:t>Tolerancje nowo wykonanego oznakowania poziomego, zgodnego z dokumentacją projektową i „Instrukcją o znakach drogowych poziomych” [3], powinny odpowiadać następującym warunkom:</w:t>
      </w:r>
    </w:p>
    <w:p w:rsidR="00CD4320" w:rsidRDefault="00CD4320" w:rsidP="00ED602D">
      <w:pPr>
        <w:numPr>
          <w:ilvl w:val="0"/>
          <w:numId w:val="1"/>
        </w:numPr>
      </w:pPr>
      <w:r>
        <w:t xml:space="preserve">szerokość linii może różnić się od wymaganej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 xml:space="preserve">długość linii może być mniejsza od wymaganej co najwyżej o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lub większa co najwyżej o </w:t>
      </w:r>
      <w:smartTag w:uri="urn:schemas-microsoft-com:office:smarttags" w:element="metricconverter">
        <w:smartTagPr>
          <w:attr w:name="ProductID" w:val="150 mm"/>
        </w:smartTagPr>
        <w:r>
          <w:t>150 mm</w:t>
        </w:r>
      </w:smartTag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 xml:space="preserve">dla linii przerywanych, długość cyklu składającego się z linii i przerwy nie może odbiegać od średniej liczonej z 10 kolejnych cykli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długości wymaganej,</w:t>
      </w:r>
    </w:p>
    <w:p w:rsidR="00CD4320" w:rsidRDefault="00CD4320" w:rsidP="00ED602D">
      <w:pPr>
        <w:numPr>
          <w:ilvl w:val="0"/>
          <w:numId w:val="1"/>
        </w:numPr>
      </w:pPr>
      <w:r>
        <w:lastRenderedPageBreak/>
        <w:t xml:space="preserve">dla strzałek, liter i cyfr rozstaw punktów narożnikowych nie może mieć większej odchyłki od wymaganego wzoru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dla wymiaru długości 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dla wymiaru szerokości.</w:t>
      </w:r>
    </w:p>
    <w:p w:rsidR="00CD4320" w:rsidRDefault="00CD4320" w:rsidP="00ED602D">
      <w:pPr>
        <w:numPr>
          <w:ilvl w:val="12"/>
          <w:numId w:val="0"/>
        </w:numPr>
      </w:pPr>
      <w:r>
        <w:tab/>
        <w:t>Przy wykonywaniu nowego oznakowania poziomego, spowodowanego zmianami organizacji ruchu, należy dokładnie usunąć zbędne stare oznakowanie.</w:t>
      </w:r>
    </w:p>
    <w:p w:rsidR="00CD4320" w:rsidRDefault="00CD4320" w:rsidP="00ED602D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Tolerancje przy odnawianiu istniejącego oznakowania</w:t>
      </w:r>
    </w:p>
    <w:p w:rsidR="00CD4320" w:rsidRDefault="00CD4320" w:rsidP="00ED602D">
      <w:pPr>
        <w:numPr>
          <w:ilvl w:val="12"/>
          <w:numId w:val="0"/>
        </w:numPr>
        <w:spacing w:before="120" w:after="120"/>
      </w:pPr>
      <w:r>
        <w:tab/>
        <w:t>Przy odnawianiu istniejącego oznakowania należy dążyć do  pokrycia pełnej powierzchni istniejących znaków, przy zachowaniu dopuszczalnych tolerancji podanych w punkcie 6.4.1.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4" w:name="_Toc420816686"/>
      <w:r>
        <w:t>7. Obmiar robót</w:t>
      </w:r>
      <w:bookmarkEnd w:id="14"/>
    </w:p>
    <w:p w:rsidR="00CD4320" w:rsidRDefault="00CD4320" w:rsidP="00ED602D">
      <w:pPr>
        <w:pStyle w:val="Nagwek2"/>
        <w:numPr>
          <w:ilvl w:val="12"/>
          <w:numId w:val="0"/>
        </w:numPr>
      </w:pPr>
      <w:r>
        <w:t>7.1. Ogólne zasady obmiaru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7.2. Jednostka obmiarowa</w:t>
      </w:r>
    </w:p>
    <w:p w:rsidR="00CD4320" w:rsidRDefault="00CD4320" w:rsidP="00ED602D">
      <w:pPr>
        <w:numPr>
          <w:ilvl w:val="12"/>
          <w:numId w:val="0"/>
        </w:numPr>
        <w:spacing w:after="120"/>
      </w:pPr>
      <w:r>
        <w:tab/>
        <w:t>Jednostką obmiarową oznakowania poziomego jest m</w:t>
      </w:r>
      <w:r>
        <w:rPr>
          <w:vertAlign w:val="superscript"/>
        </w:rPr>
        <w:t>2</w:t>
      </w:r>
      <w:r>
        <w:t xml:space="preserve"> (metr kwadratowy) powierzchni naniesionych znaków lub liczba umieszczonych punktowych elementów odblaskowych.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5" w:name="_Toc420816687"/>
      <w:r>
        <w:t>8. odbiór robót</w:t>
      </w:r>
      <w:bookmarkEnd w:id="15"/>
    </w:p>
    <w:p w:rsidR="00CD4320" w:rsidRDefault="00CD4320" w:rsidP="00ED602D">
      <w:pPr>
        <w:pStyle w:val="Nagwek2"/>
        <w:numPr>
          <w:ilvl w:val="12"/>
          <w:numId w:val="0"/>
        </w:numPr>
      </w:pPr>
      <w:r>
        <w:t>8.1. Ogólne zasady odbioru robót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badania, z zachowaniem tolerancji wg </w:t>
      </w:r>
      <w:proofErr w:type="spellStart"/>
      <w:r>
        <w:t>pkt</w:t>
      </w:r>
      <w:proofErr w:type="spellEnd"/>
      <w:r>
        <w:t xml:space="preserve"> 6, dały wyniki pozytywne.</w:t>
      </w:r>
    </w:p>
    <w:p w:rsidR="00CD4320" w:rsidRDefault="00CD4320" w:rsidP="00ED602D">
      <w:pPr>
        <w:numPr>
          <w:ilvl w:val="12"/>
          <w:numId w:val="0"/>
        </w:numPr>
      </w:pPr>
      <w:r>
        <w:tab/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CD4320" w:rsidRDefault="00CD4320" w:rsidP="00ED602D">
      <w:pPr>
        <w:numPr>
          <w:ilvl w:val="12"/>
          <w:numId w:val="0"/>
        </w:numPr>
      </w:pPr>
      <w:r>
        <w:tab/>
        <w:t>Odbiór robót zanikających i ulegających zakryciu, w zależności od przyjętego sposobu wykonania robót, może być dokonany po:</w:t>
      </w:r>
    </w:p>
    <w:p w:rsidR="00CD4320" w:rsidRDefault="00CD4320" w:rsidP="00ED602D">
      <w:pPr>
        <w:numPr>
          <w:ilvl w:val="0"/>
          <w:numId w:val="1"/>
        </w:numPr>
      </w:pPr>
      <w:r>
        <w:t>oczyszczeniu powierzchni nawierzchni,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przedznakowaniu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frezowaniu nawierzchni przed wykonaniem znakowania materiałem grubowarstwowym,</w:t>
      </w:r>
    </w:p>
    <w:p w:rsidR="00CD4320" w:rsidRDefault="00CD4320" w:rsidP="00ED602D">
      <w:pPr>
        <w:numPr>
          <w:ilvl w:val="0"/>
          <w:numId w:val="1"/>
        </w:numPr>
      </w:pPr>
      <w:r>
        <w:t>usunięciu istniejącego oznakowania poziomego,</w:t>
      </w:r>
    </w:p>
    <w:p w:rsidR="00CD4320" w:rsidRDefault="00CD4320" w:rsidP="00ED602D">
      <w:pPr>
        <w:numPr>
          <w:ilvl w:val="0"/>
          <w:numId w:val="1"/>
        </w:numPr>
      </w:pPr>
      <w:r>
        <w:t>wykonaniu podkładu (</w:t>
      </w:r>
      <w:proofErr w:type="spellStart"/>
      <w:r>
        <w:t>primera</w:t>
      </w:r>
      <w:proofErr w:type="spellEnd"/>
      <w:r>
        <w:t>) na nawierzchni betonowej.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8.3. Odbiór ostateczny</w:t>
      </w:r>
    </w:p>
    <w:p w:rsidR="00CD4320" w:rsidRDefault="00CD4320" w:rsidP="00ED602D">
      <w:pPr>
        <w:numPr>
          <w:ilvl w:val="12"/>
          <w:numId w:val="0"/>
        </w:numPr>
      </w:pPr>
      <w:r>
        <w:tab/>
        <w:t>Odbioru ostatecznego należy dokonać po całkowitym zakończeniu robót, na podstawie wyników pomiarów i badań jakościowych określonych w punktach od 2 do 6.</w:t>
      </w:r>
    </w:p>
    <w:p w:rsidR="00CD4320" w:rsidRDefault="00CD4320" w:rsidP="00ED602D">
      <w:pPr>
        <w:pStyle w:val="Nagwek2"/>
        <w:numPr>
          <w:ilvl w:val="12"/>
          <w:numId w:val="0"/>
        </w:numPr>
      </w:pPr>
      <w:r>
        <w:t>8.4. Odbiór pogwarancyjny</w:t>
      </w:r>
    </w:p>
    <w:p w:rsidR="00CD4320" w:rsidRDefault="00CD4320" w:rsidP="00ED602D">
      <w:pPr>
        <w:numPr>
          <w:ilvl w:val="12"/>
          <w:numId w:val="0"/>
        </w:numPr>
      </w:pPr>
      <w:r>
        <w:tab/>
        <w:t>Odbioru pogwarancyjnego należy dokonać po upływie okresu gwarancyjnego, ustalonego w SST. Sprawdzeniu podlegają cechy oznakowania określone w POD-97 [4].</w:t>
      </w:r>
    </w:p>
    <w:p w:rsidR="00CD4320" w:rsidRDefault="00CD4320" w:rsidP="00ED602D">
      <w:pPr>
        <w:numPr>
          <w:ilvl w:val="12"/>
          <w:numId w:val="0"/>
        </w:numPr>
      </w:pPr>
      <w:r>
        <w:tab/>
        <w:t>Zaleca się stosowanie następujących minimalnych okresów gwarancyjnych:</w:t>
      </w:r>
    </w:p>
    <w:p w:rsidR="00CD4320" w:rsidRDefault="00CD4320" w:rsidP="00ED602D">
      <w:pPr>
        <w:numPr>
          <w:ilvl w:val="12"/>
          <w:numId w:val="0"/>
        </w:numPr>
      </w:pPr>
      <w:r>
        <w:t>a) dla oznakowania cienkowarstwowego:</w:t>
      </w:r>
    </w:p>
    <w:p w:rsidR="00CD4320" w:rsidRDefault="00CD4320" w:rsidP="00ED602D">
      <w:pPr>
        <w:numPr>
          <w:ilvl w:val="0"/>
          <w:numId w:val="1"/>
        </w:numPr>
      </w:pPr>
      <w:r>
        <w:t>na odcinkach zamiejskich, z wyłączeniem przejść dla pieszych: co najmniej 12 miesięcy,</w:t>
      </w:r>
    </w:p>
    <w:p w:rsidR="00CD4320" w:rsidRDefault="00CD4320" w:rsidP="00ED602D">
      <w:pPr>
        <w:numPr>
          <w:ilvl w:val="0"/>
          <w:numId w:val="1"/>
        </w:numPr>
      </w:pPr>
      <w:r>
        <w:t>na odcinkach przejść przez miejscowości: co najmniej 6 miesięcy,</w:t>
      </w:r>
    </w:p>
    <w:p w:rsidR="00CD4320" w:rsidRDefault="00CD4320" w:rsidP="00ED602D">
      <w:pPr>
        <w:numPr>
          <w:ilvl w:val="0"/>
          <w:numId w:val="1"/>
        </w:numPr>
      </w:pPr>
      <w:r>
        <w:t>na przejściach dla pieszych na odcinkach zamiejskich: co najmniej 6 miesięcy,</w:t>
      </w:r>
    </w:p>
    <w:p w:rsidR="00CD4320" w:rsidRDefault="00CD4320" w:rsidP="00ED602D">
      <w:pPr>
        <w:numPr>
          <w:ilvl w:val="0"/>
          <w:numId w:val="1"/>
        </w:numPr>
      </w:pPr>
      <w:r>
        <w:t>na przejściach dla pieszych w miejscowościach: co najmniej 3 miesiące,</w:t>
      </w:r>
    </w:p>
    <w:p w:rsidR="00CD4320" w:rsidRDefault="00CD4320" w:rsidP="00ED602D">
      <w:pPr>
        <w:numPr>
          <w:ilvl w:val="0"/>
          <w:numId w:val="4"/>
        </w:numPr>
      </w:pPr>
      <w:r>
        <w:t>dla oznakowania grubowarstwowego lub znakowania punktowymi elementami odblaskowymi: co najmniej 24 miesiące.</w:t>
      </w:r>
    </w:p>
    <w:p w:rsidR="00CD4320" w:rsidRDefault="00CD4320">
      <w:r>
        <w:tab/>
        <w:t>W niektórych przypadkach można rozważać ograniczenia okresów gwarancyjnych dla oznakowań:</w:t>
      </w:r>
    </w:p>
    <w:p w:rsidR="00CD4320" w:rsidRDefault="00CD4320">
      <w:r>
        <w:t>a) cienkowarstwowych</w:t>
      </w:r>
    </w:p>
    <w:p w:rsidR="00CD4320" w:rsidRDefault="00CD4320" w:rsidP="00ED602D">
      <w:pPr>
        <w:numPr>
          <w:ilvl w:val="0"/>
          <w:numId w:val="1"/>
        </w:numPr>
      </w:pPr>
      <w:r>
        <w:t>dla wymalowań farbami problematyczne jest udzielenie gwarancji na wykonane oznakowanie w przypadku nawierzchni, których czas użytkowania jest krótszy niż jeden rok oraz dla oznakowań wykonanych w okresie od 1 listopada do 31 marca,</w:t>
      </w:r>
    </w:p>
    <w:p w:rsidR="00CD4320" w:rsidRDefault="00CD4320" w:rsidP="00ED602D">
      <w:pPr>
        <w:numPr>
          <w:ilvl w:val="0"/>
          <w:numId w:val="1"/>
        </w:numPr>
      </w:pPr>
      <w:r>
        <w:t>na nawierzchniach bitumicznych o warstwie ścieralnej spękanej, kruszącej się, z luźnymi grysami, pożądane jest skrócić okres gwarancyjny dla linii segregacyjnych do 6 miesięcy, przejść dla pieszych i drobnych elementów do 3 miesięcy,</w:t>
      </w:r>
    </w:p>
    <w:p w:rsidR="00CD4320" w:rsidRDefault="00CD4320" w:rsidP="00ED602D">
      <w:pPr>
        <w:numPr>
          <w:ilvl w:val="0"/>
          <w:numId w:val="1"/>
        </w:numPr>
      </w:pPr>
      <w:r>
        <w:lastRenderedPageBreak/>
        <w:t>na nawierzchniach kostkowych o równej powierzchni w dobrym stanie, pożądane jest skrócić okres gwarancyjny dla linii segregacyjnych do 3  miesięcy, przejść dla pieszych i drobnych elementów do 1 miesiąca,</w:t>
      </w:r>
    </w:p>
    <w:p w:rsidR="00CD4320" w:rsidRDefault="00CD4320" w:rsidP="00ED602D">
      <w:pPr>
        <w:numPr>
          <w:ilvl w:val="0"/>
          <w:numId w:val="1"/>
        </w:numPr>
      </w:pPr>
      <w:r>
        <w:t>na nawierzchniach drogowych o silnie zdeformowanej, spękanej, łuszczącej się powierzchni, na złączach podłużnych jeśli są niejednorodne, tj. ze szczelinami, garbami podłużnymi i poprzecznymi, na nawierzchniach smołowych (także z  powierzchniowym utrwaleniem smołą), na nawierzchniach kostkowych w złym stanie (nierówna powierzchnia, kostka uszkodzona, braki kostki, luźne zanieczyszczenia w szczelinach między kostkami niemożliwe do usunięcia za pomocą szczotki i zamiatarki) - w zasadzie gwarancji nie powinno się udzielać,</w:t>
      </w:r>
    </w:p>
    <w:p w:rsidR="00CD4320" w:rsidRDefault="00CD4320" w:rsidP="00ED602D">
      <w:pPr>
        <w:numPr>
          <w:ilvl w:val="0"/>
          <w:numId w:val="1"/>
        </w:numPr>
      </w:pPr>
      <w:r>
        <w:t>w przypadku stosowania piasku  lub piasku z solą do zimowego utrzymania dróg, okres gwarancyjny należałoby skrócić do maksimum 9 miesięcy przy wymalowaniu wiosennym i do 6 miesięcy przy wymalowaniu jesiennym;</w:t>
      </w:r>
    </w:p>
    <w:p w:rsidR="00CD4320" w:rsidRDefault="00CD4320" w:rsidP="00ED602D">
      <w:pPr>
        <w:numPr>
          <w:ilvl w:val="12"/>
          <w:numId w:val="0"/>
        </w:numPr>
      </w:pPr>
      <w:r>
        <w:t>b) grubowarstwowych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na nawierzchniach bitumicznych ułożonych do 1 miesiąca przed wykonaniem oznakowania masami chemoutwardzalnymi i termoplastycznymi pożądane jest skrócić okres gwarancyjny dla linii segregacyjnych do 1 roku, dla przejść dla pieszych i drobnych elementów do 9 miesięcy.</w:t>
      </w:r>
    </w:p>
    <w:p w:rsidR="00CD4320" w:rsidRDefault="00CD4320" w:rsidP="00ED602D">
      <w:pPr>
        <w:pStyle w:val="Nagwek1"/>
        <w:numPr>
          <w:ilvl w:val="12"/>
          <w:numId w:val="0"/>
        </w:numPr>
      </w:pPr>
      <w:bookmarkStart w:id="16" w:name="_Toc420816688"/>
    </w:p>
    <w:p w:rsidR="00CD4320" w:rsidRDefault="00CD4320" w:rsidP="00ED602D">
      <w:pPr>
        <w:pStyle w:val="Nagwek1"/>
        <w:numPr>
          <w:ilvl w:val="12"/>
          <w:numId w:val="0"/>
        </w:numPr>
      </w:pPr>
      <w:r>
        <w:t>9. podstawa płatności</w:t>
      </w:r>
      <w:bookmarkEnd w:id="16"/>
    </w:p>
    <w:p w:rsidR="00CD4320" w:rsidRDefault="00CD4320" w:rsidP="00ED602D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numPr>
          <w:ilvl w:val="12"/>
          <w:numId w:val="0"/>
        </w:numPr>
      </w:pPr>
    </w:p>
    <w:p w:rsidR="00CD4320" w:rsidRDefault="00CD4320" w:rsidP="00ED602D">
      <w:pPr>
        <w:pStyle w:val="Nagwek2"/>
        <w:numPr>
          <w:ilvl w:val="12"/>
          <w:numId w:val="0"/>
        </w:numPr>
      </w:pPr>
      <w:r>
        <w:t>9.2. Cena jednostki obmiarowej</w:t>
      </w:r>
    </w:p>
    <w:p w:rsidR="00CD4320" w:rsidRDefault="00CD4320" w:rsidP="00ED602D">
      <w:pPr>
        <w:numPr>
          <w:ilvl w:val="12"/>
          <w:numId w:val="0"/>
        </w:numPr>
      </w:pPr>
      <w:r>
        <w:tab/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wykonania robót obejmuje:</w:t>
      </w:r>
    </w:p>
    <w:p w:rsidR="00CD4320" w:rsidRDefault="00CD4320" w:rsidP="00ED602D">
      <w:pPr>
        <w:numPr>
          <w:ilvl w:val="0"/>
          <w:numId w:val="1"/>
        </w:numPr>
      </w:pPr>
      <w:r>
        <w:t>prace pomiarowe, roboty przygotowawcze i oznakowanie robót,</w:t>
      </w:r>
    </w:p>
    <w:p w:rsidR="00CD4320" w:rsidRDefault="00CD4320" w:rsidP="00ED602D">
      <w:pPr>
        <w:numPr>
          <w:ilvl w:val="0"/>
          <w:numId w:val="1"/>
        </w:numPr>
      </w:pPr>
      <w:r>
        <w:t>przygotowanie i dostarczenie materiałów,</w:t>
      </w:r>
    </w:p>
    <w:p w:rsidR="00CD4320" w:rsidRDefault="00CD4320" w:rsidP="00ED602D">
      <w:pPr>
        <w:numPr>
          <w:ilvl w:val="0"/>
          <w:numId w:val="1"/>
        </w:numPr>
      </w:pPr>
      <w:r>
        <w:t>oczyszczenie podłoża (nawierzchni),</w:t>
      </w:r>
    </w:p>
    <w:p w:rsidR="00CD4320" w:rsidRDefault="00CD4320" w:rsidP="00ED602D">
      <w:pPr>
        <w:numPr>
          <w:ilvl w:val="0"/>
          <w:numId w:val="1"/>
        </w:numPr>
      </w:pPr>
      <w:proofErr w:type="spellStart"/>
      <w:r>
        <w:t>przedznakowanie</w:t>
      </w:r>
      <w:proofErr w:type="spellEnd"/>
      <w:r>
        <w:t>,</w:t>
      </w:r>
    </w:p>
    <w:p w:rsidR="00CD4320" w:rsidRDefault="00CD4320" w:rsidP="00ED602D">
      <w:pPr>
        <w:numPr>
          <w:ilvl w:val="0"/>
          <w:numId w:val="1"/>
        </w:numPr>
      </w:pPr>
      <w:r>
        <w:t>naniesienie powłoki znaków na nawierzchnię drogi o kształtach i wymiarach zgodnych z dokumentacją projektową i „Instrukcją o znakach drogowych poziomych”,</w:t>
      </w:r>
    </w:p>
    <w:p w:rsidR="00CD4320" w:rsidRDefault="00CD4320" w:rsidP="00ED602D">
      <w:pPr>
        <w:numPr>
          <w:ilvl w:val="0"/>
          <w:numId w:val="1"/>
        </w:numPr>
      </w:pPr>
      <w:r>
        <w:t>ochrona znaków przed zniszczeniem przez pojazdy w czasie prowadzenia robót,</w:t>
      </w:r>
    </w:p>
    <w:p w:rsidR="00CD4320" w:rsidRDefault="00CD4320" w:rsidP="00ED602D">
      <w:pPr>
        <w:numPr>
          <w:ilvl w:val="0"/>
          <w:numId w:val="1"/>
        </w:numPr>
        <w:spacing w:after="120"/>
        <w:ind w:left="284" w:hanging="284"/>
      </w:pPr>
      <w:r>
        <w:t>przeprowadzenie pomiarów i badań laboratoryjnych wymaganych w specyfikacji technicznej.</w:t>
      </w:r>
    </w:p>
    <w:p w:rsidR="00CD4320" w:rsidRDefault="00CD4320">
      <w:pPr>
        <w:spacing w:after="120"/>
      </w:pPr>
    </w:p>
    <w:p w:rsidR="00CD4320" w:rsidRDefault="00CD4320">
      <w:pPr>
        <w:pStyle w:val="Nagwek1"/>
      </w:pPr>
      <w:bookmarkStart w:id="17" w:name="_Toc420816689"/>
      <w:r>
        <w:t>10. przepisy związane</w:t>
      </w:r>
      <w:bookmarkEnd w:id="17"/>
    </w:p>
    <w:p w:rsidR="00CD4320" w:rsidRDefault="00CD4320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172"/>
      </w:tblGrid>
      <w:tr w:rsidR="00CD4320">
        <w:tc>
          <w:tcPr>
            <w:tcW w:w="496" w:type="dxa"/>
          </w:tcPr>
          <w:p w:rsidR="00CD4320" w:rsidRDefault="00CD4320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CD4320" w:rsidRDefault="00CD4320">
            <w:r>
              <w:t>PN-C-81400</w:t>
            </w:r>
          </w:p>
        </w:tc>
        <w:tc>
          <w:tcPr>
            <w:tcW w:w="5172" w:type="dxa"/>
          </w:tcPr>
          <w:p w:rsidR="00CD4320" w:rsidRDefault="00CD4320">
            <w:r>
              <w:t>Wyroby lakierowe. Pakowanie, przechowywanie i transport</w:t>
            </w:r>
          </w:p>
        </w:tc>
      </w:tr>
      <w:tr w:rsidR="00CD4320">
        <w:tc>
          <w:tcPr>
            <w:tcW w:w="496" w:type="dxa"/>
          </w:tcPr>
          <w:p w:rsidR="00CD4320" w:rsidRDefault="00CD4320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CD4320" w:rsidRDefault="00CD4320">
            <w:r>
              <w:t>PN-O-79252</w:t>
            </w:r>
          </w:p>
        </w:tc>
        <w:tc>
          <w:tcPr>
            <w:tcW w:w="5172" w:type="dxa"/>
          </w:tcPr>
          <w:p w:rsidR="00CD4320" w:rsidRDefault="00CD4320">
            <w:r>
              <w:t>Opakowania transportowe z zawartością. Znaki i znakowanie. Wymagania podstawowe.</w:t>
            </w:r>
          </w:p>
        </w:tc>
      </w:tr>
    </w:tbl>
    <w:p w:rsidR="00CD4320" w:rsidRDefault="00CD4320">
      <w:pPr>
        <w:pStyle w:val="Nagwek2"/>
      </w:pPr>
      <w:r>
        <w:t>10.2. Inne dokumenty</w:t>
      </w:r>
    </w:p>
    <w:p w:rsidR="00CD4320" w:rsidRDefault="00CD4320" w:rsidP="00ED602D">
      <w:pPr>
        <w:numPr>
          <w:ilvl w:val="0"/>
          <w:numId w:val="5"/>
        </w:numPr>
      </w:pPr>
      <w:r>
        <w:t>Instrukcja o znakach drogowych poziomych. Załącznik do zarządzenia Ministra Transportu i Gospodarki Morskiej z dnia 3 marca 1994 r. (M.P. Nr 16, poz. 120)</w:t>
      </w:r>
    </w:p>
    <w:p w:rsidR="00CD4320" w:rsidRDefault="00CD4320" w:rsidP="00ED602D">
      <w:pPr>
        <w:numPr>
          <w:ilvl w:val="0"/>
          <w:numId w:val="5"/>
        </w:numPr>
      </w:pPr>
      <w:r>
        <w:t xml:space="preserve">Warunki techniczne. Poziome znakowanie dróg. POD-97. Seria „I” - Informacje, Instrukcje. Zeszyt nr 55. </w:t>
      </w:r>
      <w:proofErr w:type="spellStart"/>
      <w:r>
        <w:t>IBDiM</w:t>
      </w:r>
      <w:proofErr w:type="spellEnd"/>
      <w:r>
        <w:t>, Warszawa, 1997.</w:t>
      </w:r>
    </w:p>
    <w:p w:rsidR="00CD4320" w:rsidRDefault="00CD4320">
      <w:pPr>
        <w:spacing w:before="120"/>
      </w:pPr>
      <w:r>
        <w:tab/>
      </w:r>
    </w:p>
    <w:p w:rsidR="00CD4320" w:rsidRDefault="00CD4320">
      <w:pPr>
        <w:spacing w:before="120"/>
      </w:pPr>
      <w:r>
        <w:tab/>
      </w:r>
    </w:p>
    <w:sectPr w:rsidR="00CD4320" w:rsidSect="0012671C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4D" w:rsidRDefault="00D92F4D">
      <w:r>
        <w:separator/>
      </w:r>
    </w:p>
  </w:endnote>
  <w:endnote w:type="continuationSeparator" w:id="0">
    <w:p w:rsidR="00D92F4D" w:rsidRDefault="00D9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4D" w:rsidRDefault="00D92F4D">
      <w:r>
        <w:separator/>
      </w:r>
    </w:p>
  </w:footnote>
  <w:footnote w:type="continuationSeparator" w:id="0">
    <w:p w:rsidR="00D92F4D" w:rsidRDefault="00D9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20" w:rsidRDefault="00CD4320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AA282"/>
    <w:lvl w:ilvl="0">
      <w:numFmt w:val="bullet"/>
      <w:lvlText w:val="*"/>
      <w:lvlJc w:val="left"/>
    </w:lvl>
  </w:abstractNum>
  <w:abstractNum w:abstractNumId="1">
    <w:nsid w:val="4727552F"/>
    <w:multiLevelType w:val="singleLevel"/>
    <w:tmpl w:val="F47CFA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62692CCE"/>
    <w:multiLevelType w:val="singleLevel"/>
    <w:tmpl w:val="2D48A22E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">
    <w:nsid w:val="66CB479E"/>
    <w:multiLevelType w:val="singleLevel"/>
    <w:tmpl w:val="84DA390A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B3B1099"/>
    <w:multiLevelType w:val="singleLevel"/>
    <w:tmpl w:val="F47CFAC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D602D"/>
    <w:rsid w:val="0012671C"/>
    <w:rsid w:val="00155999"/>
    <w:rsid w:val="00175BFA"/>
    <w:rsid w:val="00250C68"/>
    <w:rsid w:val="002C5BB5"/>
    <w:rsid w:val="004A55D2"/>
    <w:rsid w:val="007D78AC"/>
    <w:rsid w:val="00853952"/>
    <w:rsid w:val="00904922"/>
    <w:rsid w:val="00907453"/>
    <w:rsid w:val="009C6176"/>
    <w:rsid w:val="00A923B1"/>
    <w:rsid w:val="00C73D52"/>
    <w:rsid w:val="00CD4320"/>
    <w:rsid w:val="00D92F4D"/>
    <w:rsid w:val="00E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12671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12671C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12671C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2671C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12671C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12671C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12671C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12671C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12671C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12671C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12671C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12671C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12671C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12671C"/>
  </w:style>
  <w:style w:type="paragraph" w:customStyle="1" w:styleId="StylIwony">
    <w:name w:val="Styl Iwony"/>
    <w:basedOn w:val="Normalny"/>
    <w:rsid w:val="0012671C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12671C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12671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2671C"/>
  </w:style>
  <w:style w:type="paragraph" w:customStyle="1" w:styleId="tekstost">
    <w:name w:val="tekst ost"/>
    <w:basedOn w:val="Normalny"/>
    <w:rsid w:val="0012671C"/>
  </w:style>
  <w:style w:type="character" w:styleId="Odwoanieprzypisudolnego">
    <w:name w:val="footnote reference"/>
    <w:basedOn w:val="Domylnaczcionkaakapitu"/>
    <w:semiHidden/>
    <w:rsid w:val="0012671C"/>
    <w:rPr>
      <w:vertAlign w:val="superscript"/>
    </w:rPr>
  </w:style>
  <w:style w:type="paragraph" w:customStyle="1" w:styleId="Standardowytekst">
    <w:name w:val="Standardowy.tekst"/>
    <w:rsid w:val="0012671C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98</Template>
  <TotalTime>0</TotalTime>
  <Pages>12</Pages>
  <Words>4880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D-07.01.01</vt:lpstr>
    </vt:vector>
  </TitlesOfParts>
  <Company>Warszawa      Skaryszewska 19</Company>
  <LinksUpToDate>false</LinksUpToDate>
  <CharactersWithSpaces>34095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D-07.01.01</dc:title>
  <dc:subject>ost</dc:subject>
  <dc:creator>BZD BDIM Sp. z o.o.</dc:creator>
  <cp:keywords>specyfikacje, drogi, drogownictwo, ost</cp:keywords>
  <dc:description>Oznakowanie poziome</dc:description>
  <cp:lastModifiedBy>Kompuer</cp:lastModifiedBy>
  <cp:revision>3</cp:revision>
  <cp:lastPrinted>2006-03-23T18:09:00Z</cp:lastPrinted>
  <dcterms:created xsi:type="dcterms:W3CDTF">2012-05-22T05:30:00Z</dcterms:created>
  <dcterms:modified xsi:type="dcterms:W3CDTF">2013-03-26T12:45:00Z</dcterms:modified>
</cp:coreProperties>
</file>