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0F" w:rsidRDefault="00C6560F">
      <w:pPr>
        <w:rPr>
          <w:b/>
          <w:sz w:val="28"/>
        </w:rPr>
      </w:pPr>
    </w:p>
    <w:p w:rsidR="00C6560F" w:rsidRDefault="00C6560F">
      <w:pPr>
        <w:rPr>
          <w:b/>
          <w:sz w:val="28"/>
        </w:rPr>
      </w:pPr>
    </w:p>
    <w:p w:rsidR="00C6560F" w:rsidRDefault="00C6560F">
      <w:pPr>
        <w:rPr>
          <w:b/>
          <w:sz w:val="28"/>
        </w:rPr>
      </w:pPr>
    </w:p>
    <w:p w:rsidR="00C6560F" w:rsidRDefault="00C6560F">
      <w:pPr>
        <w:rPr>
          <w:b/>
          <w:sz w:val="28"/>
        </w:rPr>
      </w:pPr>
    </w:p>
    <w:p w:rsidR="00C6560F" w:rsidRDefault="00C6560F">
      <w:pPr>
        <w:rPr>
          <w:b/>
          <w:sz w:val="28"/>
        </w:rPr>
      </w:pPr>
    </w:p>
    <w:p w:rsidR="00C6560F" w:rsidRDefault="00C6560F">
      <w:pPr>
        <w:jc w:val="center"/>
        <w:rPr>
          <w:b/>
          <w:sz w:val="28"/>
        </w:rPr>
      </w:pPr>
      <w:r>
        <w:rPr>
          <w:sz w:val="28"/>
        </w:rPr>
        <w:t>SZCZEGÓŁOWE SPECYFIKACJE TECHNICZNE</w:t>
      </w: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r>
        <w:rPr>
          <w:b/>
          <w:sz w:val="28"/>
        </w:rPr>
        <w:t>D - 04.06.01</w:t>
      </w:r>
    </w:p>
    <w:p w:rsidR="00C6560F" w:rsidRDefault="00C6560F">
      <w:pPr>
        <w:jc w:val="center"/>
        <w:rPr>
          <w:b/>
          <w:sz w:val="27"/>
        </w:rPr>
      </w:pPr>
    </w:p>
    <w:p w:rsidR="00C6560F" w:rsidRDefault="00C6560F">
      <w:pPr>
        <w:jc w:val="center"/>
        <w:rPr>
          <w:b/>
          <w:sz w:val="27"/>
        </w:rPr>
      </w:pPr>
      <w:r>
        <w:rPr>
          <w:b/>
          <w:sz w:val="28"/>
        </w:rPr>
        <w:t>PODBUDOWA  Z  CHUDEGO  BETONU</w:t>
      </w:r>
    </w:p>
    <w:p w:rsidR="00C6560F" w:rsidRDefault="00C6560F">
      <w:pPr>
        <w:jc w:val="center"/>
        <w:rPr>
          <w:b/>
          <w:sz w:val="28"/>
        </w:rPr>
      </w:pPr>
    </w:p>
    <w:p w:rsidR="00C6560F" w:rsidRDefault="00C6560F">
      <w:pPr>
        <w:jc w:val="center"/>
        <w:rPr>
          <w:b/>
          <w:sz w:val="28"/>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spacing w:before="240"/>
        <w:jc w:val="center"/>
        <w:rPr>
          <w:b/>
        </w:rPr>
      </w:pPr>
      <w:r>
        <w:rPr>
          <w:b/>
        </w:rPr>
        <w:t>SPIS TREŚCI</w:t>
      </w:r>
    </w:p>
    <w:p w:rsidR="00C6560F" w:rsidRDefault="00C6560F">
      <w:pPr>
        <w:tabs>
          <w:tab w:val="left" w:pos="284"/>
          <w:tab w:val="right" w:leader="dot" w:pos="8789"/>
        </w:tabs>
        <w:ind w:left="90"/>
        <w:jc w:val="center"/>
        <w:rPr>
          <w:noProof/>
        </w:rPr>
      </w:pPr>
      <w:r>
        <w:rPr>
          <w:b/>
        </w:rPr>
        <w:t xml:space="preserve">  </w:t>
      </w:r>
      <w:r w:rsidR="0059028F">
        <w:rPr>
          <w:b/>
        </w:rPr>
        <w:fldChar w:fldCharType="begin"/>
      </w:r>
      <w:r>
        <w:rPr>
          <w:b/>
        </w:rPr>
        <w:instrText xml:space="preserve"> TOC \o "1-1" </w:instrText>
      </w:r>
      <w:r w:rsidR="0059028F">
        <w:rPr>
          <w:b/>
        </w:rPr>
        <w:fldChar w:fldCharType="separate"/>
      </w:r>
    </w:p>
    <w:p w:rsidR="00C6560F" w:rsidRDefault="00C6560F">
      <w:pPr>
        <w:pStyle w:val="Spistreci1"/>
        <w:spacing w:before="0" w:after="0"/>
        <w:rPr>
          <w:noProof/>
        </w:rPr>
      </w:pPr>
      <w:r>
        <w:rPr>
          <w:noProof/>
        </w:rPr>
        <w:t xml:space="preserve">  1. WSTĘP</w:t>
      </w:r>
      <w:r>
        <w:rPr>
          <w:b w:val="0"/>
          <w:noProof/>
        </w:rPr>
        <w:tab/>
      </w:r>
    </w:p>
    <w:p w:rsidR="00C6560F" w:rsidRDefault="00C6560F">
      <w:pPr>
        <w:pStyle w:val="Spistreci1"/>
        <w:spacing w:before="0" w:after="0"/>
        <w:rPr>
          <w:noProof/>
        </w:rPr>
      </w:pPr>
      <w:r>
        <w:rPr>
          <w:noProof/>
        </w:rPr>
        <w:t xml:space="preserve">  2. MATERIAŁY</w:t>
      </w:r>
      <w:r>
        <w:rPr>
          <w:b w:val="0"/>
          <w:noProof/>
        </w:rPr>
        <w:tab/>
      </w:r>
    </w:p>
    <w:p w:rsidR="00C6560F" w:rsidRDefault="00C6560F">
      <w:pPr>
        <w:pStyle w:val="Spistreci1"/>
        <w:spacing w:before="0" w:after="0"/>
        <w:rPr>
          <w:noProof/>
        </w:rPr>
      </w:pPr>
      <w:r>
        <w:rPr>
          <w:noProof/>
        </w:rPr>
        <w:t xml:space="preserve">  3. SPRZĘT</w:t>
      </w:r>
      <w:r>
        <w:rPr>
          <w:b w:val="0"/>
          <w:noProof/>
        </w:rPr>
        <w:tab/>
      </w:r>
    </w:p>
    <w:p w:rsidR="00C6560F" w:rsidRDefault="00C6560F">
      <w:pPr>
        <w:pStyle w:val="Spistreci1"/>
        <w:spacing w:before="0" w:after="0"/>
        <w:rPr>
          <w:noProof/>
        </w:rPr>
      </w:pPr>
      <w:r>
        <w:rPr>
          <w:noProof/>
        </w:rPr>
        <w:t xml:space="preserve">  4. TRANSPORT</w:t>
      </w:r>
      <w:r>
        <w:rPr>
          <w:b w:val="0"/>
          <w:noProof/>
        </w:rPr>
        <w:tab/>
      </w:r>
    </w:p>
    <w:p w:rsidR="00C6560F" w:rsidRDefault="00C6560F">
      <w:pPr>
        <w:pStyle w:val="Spistreci1"/>
        <w:spacing w:before="0" w:after="0"/>
        <w:rPr>
          <w:noProof/>
        </w:rPr>
      </w:pPr>
      <w:r>
        <w:rPr>
          <w:noProof/>
        </w:rPr>
        <w:t xml:space="preserve">  5. WYKONANIE ROBÓT</w:t>
      </w:r>
      <w:r>
        <w:rPr>
          <w:b w:val="0"/>
          <w:noProof/>
        </w:rPr>
        <w:tab/>
      </w:r>
    </w:p>
    <w:p w:rsidR="00C6560F" w:rsidRDefault="00C6560F">
      <w:pPr>
        <w:pStyle w:val="Spistreci1"/>
        <w:spacing w:before="0" w:after="0"/>
        <w:rPr>
          <w:noProof/>
        </w:rPr>
      </w:pPr>
      <w:r>
        <w:rPr>
          <w:noProof/>
        </w:rPr>
        <w:t xml:space="preserve">  6. KONTROLA JAKOŚCI ROBÓT</w:t>
      </w:r>
      <w:r>
        <w:rPr>
          <w:b w:val="0"/>
          <w:noProof/>
        </w:rPr>
        <w:tab/>
      </w:r>
    </w:p>
    <w:p w:rsidR="00C6560F" w:rsidRDefault="00C6560F">
      <w:pPr>
        <w:pStyle w:val="Spistreci1"/>
        <w:spacing w:before="0" w:after="0"/>
        <w:rPr>
          <w:noProof/>
        </w:rPr>
      </w:pPr>
      <w:r>
        <w:rPr>
          <w:noProof/>
        </w:rPr>
        <w:t xml:space="preserve">  7. OBMIAR ROBÓT</w:t>
      </w:r>
      <w:r>
        <w:rPr>
          <w:b w:val="0"/>
          <w:noProof/>
        </w:rPr>
        <w:tab/>
      </w:r>
    </w:p>
    <w:p w:rsidR="00C6560F" w:rsidRDefault="00C6560F">
      <w:pPr>
        <w:pStyle w:val="Spistreci1"/>
        <w:spacing w:before="0" w:after="0"/>
        <w:rPr>
          <w:noProof/>
        </w:rPr>
      </w:pPr>
      <w:r>
        <w:rPr>
          <w:noProof/>
        </w:rPr>
        <w:t xml:space="preserve">  8. ODBIÓR ROBÓT</w:t>
      </w:r>
      <w:r>
        <w:rPr>
          <w:b w:val="0"/>
          <w:noProof/>
        </w:rPr>
        <w:tab/>
      </w:r>
    </w:p>
    <w:p w:rsidR="00C6560F" w:rsidRDefault="00C6560F">
      <w:pPr>
        <w:pStyle w:val="Spistreci1"/>
        <w:spacing w:before="0" w:after="0"/>
        <w:rPr>
          <w:noProof/>
        </w:rPr>
      </w:pPr>
      <w:r>
        <w:rPr>
          <w:noProof/>
        </w:rPr>
        <w:t xml:space="preserve">  9. PODSTAWA PŁATNOŚCI</w:t>
      </w:r>
      <w:r>
        <w:rPr>
          <w:b w:val="0"/>
          <w:noProof/>
        </w:rPr>
        <w:tab/>
      </w:r>
    </w:p>
    <w:p w:rsidR="00C6560F" w:rsidRDefault="00C6560F">
      <w:pPr>
        <w:pStyle w:val="Spistreci1"/>
        <w:spacing w:before="0" w:after="0"/>
        <w:rPr>
          <w:noProof/>
        </w:rPr>
      </w:pPr>
      <w:r>
        <w:rPr>
          <w:noProof/>
        </w:rPr>
        <w:t>10. PRZEPISY ZWIĄZANE</w:t>
      </w:r>
      <w:r>
        <w:rPr>
          <w:b w:val="0"/>
          <w:noProof/>
        </w:rPr>
        <w:tab/>
      </w:r>
    </w:p>
    <w:p w:rsidR="00C6560F" w:rsidRDefault="0059028F">
      <w:pPr>
        <w:tabs>
          <w:tab w:val="left" w:pos="284"/>
          <w:tab w:val="right" w:leader="dot" w:pos="8789"/>
        </w:tabs>
        <w:ind w:left="90"/>
        <w:jc w:val="center"/>
        <w:rPr>
          <w:b/>
        </w:rPr>
      </w:pPr>
      <w:r>
        <w:rPr>
          <w:b/>
        </w:rPr>
        <w:fldChar w:fldCharType="end"/>
      </w:r>
    </w:p>
    <w:p w:rsidR="00C6560F" w:rsidRDefault="00C6560F">
      <w:pPr>
        <w:tabs>
          <w:tab w:val="right" w:leader="dot" w:pos="-1985"/>
          <w:tab w:val="left" w:pos="284"/>
        </w:tabs>
        <w:rPr>
          <w:sz w:val="19"/>
        </w:rPr>
      </w:pPr>
    </w:p>
    <w:p w:rsidR="00C6560F" w:rsidRDefault="00C6560F">
      <w:pPr>
        <w:rPr>
          <w:sz w:val="19"/>
        </w:rPr>
        <w:sectPr w:rsidR="00C6560F">
          <w:headerReference w:type="default" r:id="rId7"/>
          <w:pgSz w:w="11907" w:h="16840" w:code="9"/>
          <w:pgMar w:top="1418" w:right="1418" w:bottom="1418" w:left="2268" w:header="0" w:footer="0" w:gutter="0"/>
          <w:cols w:space="708"/>
          <w:titlePg/>
        </w:sectPr>
      </w:pPr>
    </w:p>
    <w:p w:rsidR="00C6560F" w:rsidRDefault="00C6560F">
      <w:pPr>
        <w:pStyle w:val="Nagwek1"/>
      </w:pPr>
      <w:bookmarkStart w:id="0" w:name="_Toc404150096"/>
      <w:bookmarkStart w:id="1" w:name="_Toc416830698"/>
      <w:bookmarkStart w:id="2" w:name="_Toc423845938"/>
      <w:bookmarkStart w:id="3" w:name="_Toc32644945"/>
      <w:r>
        <w:lastRenderedPageBreak/>
        <w:t>1. WSTĘP</w:t>
      </w:r>
      <w:bookmarkEnd w:id="0"/>
      <w:bookmarkEnd w:id="1"/>
      <w:bookmarkEnd w:id="2"/>
      <w:bookmarkEnd w:id="3"/>
    </w:p>
    <w:p w:rsidR="00C6560F" w:rsidRDefault="00C6560F">
      <w:pPr>
        <w:pStyle w:val="Nagwek2"/>
      </w:pPr>
      <w:r>
        <w:t>1.1. Przedmiot SST</w:t>
      </w:r>
    </w:p>
    <w:p w:rsidR="00C6560F" w:rsidRDefault="00C6560F">
      <w:pPr>
        <w:tabs>
          <w:tab w:val="left" w:pos="0"/>
        </w:tabs>
      </w:pPr>
      <w:r>
        <w:rPr>
          <w:b/>
        </w:rPr>
        <w:tab/>
      </w:r>
      <w:r>
        <w:t>Przedmiotem niniejszej szczegółowej specyfikacji technicznej (SST) są wymagania dotyczące wykonania i odbioru robót związanych z wykonywaniem podbudowy z chudego betonu.</w:t>
      </w:r>
    </w:p>
    <w:p w:rsidR="00C6560F" w:rsidRDefault="00C6560F">
      <w:pPr>
        <w:pStyle w:val="Nagwek2"/>
      </w:pPr>
      <w:r>
        <w:t>1.2. Zakres stosowania SST</w:t>
      </w:r>
    </w:p>
    <w:p w:rsidR="00C6560F" w:rsidRDefault="00C6560F" w:rsidP="0059062A">
      <w:pPr>
        <w:pStyle w:val="tekstost"/>
      </w:pPr>
      <w:r>
        <w:tab/>
        <w:t xml:space="preserve">Szczegółowa specyfikacja techniczna (SST) stanowi obowiązujący  dokument przetargowy i kontraktowy przy zlecaniu i realizacji robót na drogach –  </w:t>
      </w:r>
      <w:r w:rsidR="0059062A">
        <w:t xml:space="preserve">BUDOWA ODCINKA ULICY TOWAROWEJ  w Czempiniu.  </w:t>
      </w:r>
    </w:p>
    <w:p w:rsidR="00C6560F" w:rsidRDefault="00C6560F" w:rsidP="0059062A">
      <w:pPr>
        <w:tabs>
          <w:tab w:val="left" w:pos="0"/>
        </w:tabs>
      </w:pPr>
      <w:r>
        <w:tab/>
      </w:r>
    </w:p>
    <w:p w:rsidR="00C6560F" w:rsidRDefault="00C6560F">
      <w:pPr>
        <w:pStyle w:val="Nagwek2"/>
        <w:spacing w:before="0"/>
      </w:pPr>
      <w:r>
        <w:t>1.3. Zakres robót objętych SST</w:t>
      </w:r>
    </w:p>
    <w:p w:rsidR="00C6560F" w:rsidRDefault="00C6560F">
      <w:r>
        <w:tab/>
        <w:t>Ustalenia zawarte w niniejszej specyfikacji dotyczą zasad prowadzenia robót związanych z wykonywaniem podbudowy z chudego betonu.</w:t>
      </w:r>
    </w:p>
    <w:p w:rsidR="00C6560F" w:rsidRDefault="00C6560F">
      <w:r>
        <w:tab/>
        <w:t xml:space="preserve">Podbudowa z chudego betonu może być wykonywana dla dróg o kategorii ruchu od KR1 do KR6 wg „Katalogu typowych konstrukcji nawierzchni sztywnych”, </w:t>
      </w:r>
      <w:proofErr w:type="spellStart"/>
      <w:r>
        <w:t>IBDiM</w:t>
      </w:r>
      <w:proofErr w:type="spellEnd"/>
      <w:r>
        <w:t xml:space="preserve"> -2001 r. [25]. W przypadku wykonywania nawierzchni betonowej, podbudowę z chudego betonu zaleca się dla dróg o kategorii ruchu od KR3 do KR6 w zależności od rodzaju gruntu w podłożu.</w:t>
      </w:r>
    </w:p>
    <w:p w:rsidR="00C6560F" w:rsidRDefault="00C6560F">
      <w:pPr>
        <w:spacing w:before="60" w:after="60"/>
      </w:pPr>
      <w:r>
        <w:t>Tablica 1. Klasyfikacja ruchu ze względu na liczbę osi obliczeniowych</w:t>
      </w:r>
    </w:p>
    <w:tbl>
      <w:tblPr>
        <w:tblW w:w="0" w:type="auto"/>
        <w:tblInd w:w="637" w:type="dxa"/>
        <w:tblLayout w:type="fixed"/>
        <w:tblCellMar>
          <w:left w:w="70" w:type="dxa"/>
          <w:right w:w="70" w:type="dxa"/>
        </w:tblCellMar>
        <w:tblLook w:val="0000"/>
      </w:tblPr>
      <w:tblGrid>
        <w:gridCol w:w="1742"/>
        <w:gridCol w:w="2295"/>
        <w:gridCol w:w="2344"/>
      </w:tblGrid>
      <w:tr w:rsidR="00C6560F">
        <w:trPr>
          <w:cantSplit/>
        </w:trPr>
        <w:tc>
          <w:tcPr>
            <w:tcW w:w="1742" w:type="dxa"/>
            <w:tcBorders>
              <w:top w:val="single" w:sz="6" w:space="0" w:color="auto"/>
              <w:left w:val="single" w:sz="6" w:space="0" w:color="auto"/>
              <w:right w:val="single" w:sz="6" w:space="0" w:color="auto"/>
            </w:tcBorders>
          </w:tcPr>
          <w:p w:rsidR="00C6560F" w:rsidRDefault="00C6560F">
            <w:pPr>
              <w:pStyle w:val="StylIwony"/>
              <w:spacing w:after="0"/>
              <w:jc w:val="center"/>
              <w:rPr>
                <w:rFonts w:ascii="Times New Roman" w:hAnsi="Times New Roman"/>
                <w:sz w:val="20"/>
              </w:rPr>
            </w:pPr>
            <w:r>
              <w:rPr>
                <w:rFonts w:ascii="Times New Roman" w:hAnsi="Times New Roman"/>
                <w:sz w:val="20"/>
              </w:rPr>
              <w:t>Kategoria ruchu</w:t>
            </w:r>
          </w:p>
        </w:tc>
        <w:tc>
          <w:tcPr>
            <w:tcW w:w="4639" w:type="dxa"/>
            <w:gridSpan w:val="2"/>
            <w:tcBorders>
              <w:top w:val="single" w:sz="6" w:space="0" w:color="auto"/>
              <w:left w:val="single" w:sz="6" w:space="0" w:color="auto"/>
              <w:bottom w:val="single" w:sz="6" w:space="0" w:color="auto"/>
              <w:right w:val="single" w:sz="6" w:space="0" w:color="auto"/>
            </w:tcBorders>
          </w:tcPr>
          <w:p w:rsidR="00C6560F" w:rsidRDefault="00C6560F">
            <w:pPr>
              <w:pStyle w:val="StylIwony"/>
              <w:spacing w:before="60" w:after="0"/>
              <w:jc w:val="center"/>
              <w:rPr>
                <w:rFonts w:ascii="Times New Roman" w:hAnsi="Times New Roman"/>
                <w:sz w:val="20"/>
              </w:rPr>
            </w:pPr>
            <w:r>
              <w:rPr>
                <w:rFonts w:ascii="Times New Roman" w:hAnsi="Times New Roman"/>
                <w:sz w:val="20"/>
              </w:rPr>
              <w:t>Liczba osi obliczeniowych na dobę na pas obliczeniowy</w:t>
            </w:r>
          </w:p>
        </w:tc>
      </w:tr>
      <w:tr w:rsidR="00C6560F">
        <w:trPr>
          <w:cantSplit/>
        </w:trPr>
        <w:tc>
          <w:tcPr>
            <w:tcW w:w="1742" w:type="dxa"/>
            <w:tcBorders>
              <w:left w:val="single" w:sz="6" w:space="0" w:color="auto"/>
              <w:bottom w:val="double" w:sz="6" w:space="0" w:color="auto"/>
              <w:right w:val="single" w:sz="6" w:space="0" w:color="auto"/>
            </w:tcBorders>
          </w:tcPr>
          <w:p w:rsidR="00C6560F" w:rsidRDefault="00C6560F">
            <w:pPr>
              <w:jc w:val="left"/>
            </w:pPr>
          </w:p>
        </w:tc>
        <w:tc>
          <w:tcPr>
            <w:tcW w:w="2295" w:type="dxa"/>
            <w:tcBorders>
              <w:top w:val="single" w:sz="6" w:space="0" w:color="auto"/>
              <w:left w:val="single" w:sz="6" w:space="0" w:color="auto"/>
              <w:bottom w:val="double" w:sz="6" w:space="0" w:color="auto"/>
              <w:right w:val="single" w:sz="6" w:space="0" w:color="auto"/>
            </w:tcBorders>
          </w:tcPr>
          <w:p w:rsidR="00C6560F" w:rsidRDefault="00C6560F">
            <w:pPr>
              <w:pStyle w:val="StylIwony"/>
              <w:spacing w:before="0" w:after="0"/>
              <w:jc w:val="left"/>
              <w:rPr>
                <w:rFonts w:ascii="Times New Roman" w:hAnsi="Times New Roman"/>
                <w:sz w:val="20"/>
              </w:rPr>
            </w:pPr>
            <w:r>
              <w:rPr>
                <w:rFonts w:ascii="Times New Roman" w:hAnsi="Times New Roman"/>
                <w:sz w:val="20"/>
              </w:rPr>
              <w:t xml:space="preserve">obciążenie osi 100 </w:t>
            </w:r>
            <w:proofErr w:type="spellStart"/>
            <w:r>
              <w:rPr>
                <w:rFonts w:ascii="Times New Roman" w:hAnsi="Times New Roman"/>
                <w:sz w:val="20"/>
              </w:rPr>
              <w:t>kN</w:t>
            </w:r>
            <w:proofErr w:type="spellEnd"/>
          </w:p>
        </w:tc>
        <w:tc>
          <w:tcPr>
            <w:tcW w:w="2344" w:type="dxa"/>
            <w:tcBorders>
              <w:top w:val="single" w:sz="6" w:space="0" w:color="auto"/>
              <w:left w:val="single" w:sz="6" w:space="0" w:color="auto"/>
              <w:bottom w:val="double" w:sz="6" w:space="0" w:color="auto"/>
              <w:right w:val="single" w:sz="6" w:space="0" w:color="auto"/>
            </w:tcBorders>
          </w:tcPr>
          <w:p w:rsidR="00C6560F" w:rsidRDefault="00C6560F">
            <w:pPr>
              <w:pStyle w:val="StylIwony"/>
              <w:spacing w:before="0" w:after="0"/>
              <w:jc w:val="left"/>
              <w:rPr>
                <w:rFonts w:ascii="Times New Roman" w:hAnsi="Times New Roman"/>
                <w:sz w:val="20"/>
              </w:rPr>
            </w:pPr>
            <w:r>
              <w:rPr>
                <w:rFonts w:ascii="Times New Roman" w:hAnsi="Times New Roman"/>
                <w:sz w:val="20"/>
              </w:rPr>
              <w:t xml:space="preserve">obciążenie osi 115 </w:t>
            </w:r>
            <w:proofErr w:type="spellStart"/>
            <w:r>
              <w:rPr>
                <w:rFonts w:ascii="Times New Roman" w:hAnsi="Times New Roman"/>
                <w:sz w:val="20"/>
              </w:rPr>
              <w:t>kN</w:t>
            </w:r>
            <w:proofErr w:type="spellEnd"/>
          </w:p>
        </w:tc>
      </w:tr>
      <w:tr w:rsidR="00C6560F">
        <w:tc>
          <w:tcPr>
            <w:tcW w:w="1742" w:type="dxa"/>
            <w:tcBorders>
              <w:lef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KR1</w:t>
            </w:r>
          </w:p>
        </w:tc>
        <w:tc>
          <w:tcPr>
            <w:tcW w:w="2295" w:type="dxa"/>
            <w:tcBorders>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12</w:t>
            </w:r>
          </w:p>
        </w:tc>
        <w:tc>
          <w:tcPr>
            <w:tcW w:w="2344" w:type="dxa"/>
            <w:tcBorders>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7</w:t>
            </w:r>
          </w:p>
        </w:tc>
      </w:tr>
      <w:tr w:rsidR="00C6560F">
        <w:tc>
          <w:tcPr>
            <w:tcW w:w="1742" w:type="dxa"/>
            <w:tcBorders>
              <w:top w:val="single" w:sz="6" w:space="0" w:color="auto"/>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KR2</w:t>
            </w:r>
          </w:p>
        </w:tc>
        <w:tc>
          <w:tcPr>
            <w:tcW w:w="2295" w:type="dxa"/>
            <w:tcBorders>
              <w:top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13 do 70</w:t>
            </w:r>
          </w:p>
        </w:tc>
        <w:tc>
          <w:tcPr>
            <w:tcW w:w="2344" w:type="dxa"/>
            <w:tcBorders>
              <w:top w:val="single" w:sz="6" w:space="0" w:color="auto"/>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8 do 40</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KR3</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71 do 335</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41 do 192</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KR4</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336 do 1000</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193 do 572</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KR5</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1001 do 2000</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573 do 1144</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KR6</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 xml:space="preserve">2001 i więcej </w:t>
            </w:r>
            <w:r>
              <w:rPr>
                <w:rFonts w:ascii="Times New Roman" w:hAnsi="Times New Roman"/>
                <w:sz w:val="20"/>
                <w:vertAlign w:val="superscript"/>
              </w:rPr>
              <w:t>1)</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 xml:space="preserve">1145 i więcej </w:t>
            </w:r>
            <w:r>
              <w:rPr>
                <w:rFonts w:ascii="Times New Roman" w:hAnsi="Times New Roman"/>
                <w:sz w:val="20"/>
                <w:vertAlign w:val="superscript"/>
              </w:rPr>
              <w:t>1)</w:t>
            </w:r>
          </w:p>
        </w:tc>
      </w:tr>
    </w:tbl>
    <w:p w:rsidR="00C6560F" w:rsidRDefault="00C6560F">
      <w:pPr>
        <w:spacing w:before="120" w:after="120"/>
      </w:pPr>
      <w:r>
        <w:tab/>
        <w:t xml:space="preserve">1) Obliczenia konstrukcji wykonano dla 4000 osi 100 </w:t>
      </w:r>
      <w:proofErr w:type="spellStart"/>
      <w:r>
        <w:t>kN</w:t>
      </w:r>
      <w:proofErr w:type="spellEnd"/>
      <w:r>
        <w:t xml:space="preserve"> lub 2280 osi 115 </w:t>
      </w:r>
      <w:proofErr w:type="spellStart"/>
      <w:r>
        <w:t>kN</w:t>
      </w:r>
      <w:proofErr w:type="spellEnd"/>
    </w:p>
    <w:p w:rsidR="00C6560F" w:rsidRDefault="00C6560F">
      <w:r>
        <w:tab/>
        <w:t>Podbudowę z chudego betonu wykonuje się, zgodnie z ustaleniami podanymi w dokumentacji projektowej, jako:</w:t>
      </w:r>
    </w:p>
    <w:p w:rsidR="00C6560F" w:rsidRDefault="00C6560F" w:rsidP="00DB470A">
      <w:pPr>
        <w:numPr>
          <w:ilvl w:val="0"/>
          <w:numId w:val="1"/>
        </w:numPr>
      </w:pPr>
      <w:r>
        <w:t>podbudowę pomocniczą,</w:t>
      </w:r>
    </w:p>
    <w:p w:rsidR="00C6560F" w:rsidRDefault="00C6560F" w:rsidP="00DB470A">
      <w:pPr>
        <w:numPr>
          <w:ilvl w:val="0"/>
          <w:numId w:val="1"/>
        </w:numPr>
      </w:pPr>
      <w:r>
        <w:t>podbudowę zasadniczą.</w:t>
      </w:r>
    </w:p>
    <w:p w:rsidR="00C6560F" w:rsidRDefault="00C6560F" w:rsidP="00DB470A">
      <w:pPr>
        <w:pStyle w:val="Nagwek2"/>
        <w:numPr>
          <w:ilvl w:val="12"/>
          <w:numId w:val="0"/>
        </w:numPr>
      </w:pPr>
      <w:r>
        <w:t>1.4. Określenia podstawowe</w:t>
      </w:r>
    </w:p>
    <w:p w:rsidR="00C6560F" w:rsidRDefault="00C6560F" w:rsidP="00DB470A">
      <w:pPr>
        <w:numPr>
          <w:ilvl w:val="12"/>
          <w:numId w:val="0"/>
        </w:numPr>
      </w:pPr>
      <w:r>
        <w:rPr>
          <w:b/>
        </w:rPr>
        <w:t xml:space="preserve">1.4.1. </w:t>
      </w:r>
      <w:r>
        <w:t xml:space="preserve">Podbudowa z chudego betonu - jedna lub dwie warstwy zagęszczonej mieszanki betonowej, która po osiągnięciu wytrzymałości na ściskanie nie mniejszej niż 6 </w:t>
      </w:r>
      <w:proofErr w:type="spellStart"/>
      <w:r>
        <w:t>MPa</w:t>
      </w:r>
      <w:proofErr w:type="spellEnd"/>
      <w:r>
        <w:t xml:space="preserve"> i nie większej niż 9 </w:t>
      </w:r>
      <w:proofErr w:type="spellStart"/>
      <w:r>
        <w:t>MPa</w:t>
      </w:r>
      <w:proofErr w:type="spellEnd"/>
      <w:r>
        <w:t>, stanowi fragment nośnej części nawierzchni drogowej.</w:t>
      </w:r>
    </w:p>
    <w:p w:rsidR="00C6560F" w:rsidRDefault="00C6560F" w:rsidP="00DB470A">
      <w:pPr>
        <w:numPr>
          <w:ilvl w:val="12"/>
          <w:numId w:val="0"/>
        </w:numPr>
        <w:spacing w:before="120"/>
      </w:pPr>
      <w:r>
        <w:rPr>
          <w:b/>
        </w:rPr>
        <w:t xml:space="preserve">1.4.2. </w:t>
      </w:r>
      <w:r>
        <w:t>Chudy beton - materiał budowlany powstały przez wymieszanie mieszanki kruszyw z cementem w ilości od 5% do 7% w stosunku do kruszywa lecz nie przekraczającej 130 kg/m</w:t>
      </w:r>
      <w:r>
        <w:rPr>
          <w:vertAlign w:val="superscript"/>
        </w:rPr>
        <w:t>3</w:t>
      </w:r>
      <w:r>
        <w:t xml:space="preserve"> oraz optymalną ilością wody, który po zakończeniu procesu wiązania osiąga wytrzymałość na ściskanie R</w:t>
      </w:r>
      <w:r>
        <w:rPr>
          <w:vertAlign w:val="subscript"/>
        </w:rPr>
        <w:t>28</w:t>
      </w:r>
      <w:r>
        <w:t xml:space="preserve"> w granicach od 6 do 9 </w:t>
      </w:r>
      <w:proofErr w:type="spellStart"/>
      <w:r>
        <w:t>MPa</w:t>
      </w:r>
      <w:proofErr w:type="spellEnd"/>
      <w:r>
        <w:t>.</w:t>
      </w:r>
    </w:p>
    <w:p w:rsidR="00C6560F" w:rsidRDefault="00C6560F" w:rsidP="00DB470A">
      <w:pPr>
        <w:numPr>
          <w:ilvl w:val="12"/>
          <w:numId w:val="0"/>
        </w:numPr>
        <w:spacing w:before="120"/>
      </w:pPr>
      <w:r>
        <w:rPr>
          <w:b/>
        </w:rPr>
        <w:t xml:space="preserve">1.4.2. </w:t>
      </w:r>
      <w:r>
        <w:t xml:space="preserve">Pozostałe określenia podstawowe są zgodne z obowiązującymi, odpowiednimi polskimi normami i z definicjami podanymi w SST D-M-00.00.00 „Wymagania ogólne” </w:t>
      </w:r>
      <w:proofErr w:type="spellStart"/>
      <w:r>
        <w:t>pkt</w:t>
      </w:r>
      <w:proofErr w:type="spellEnd"/>
      <w:r>
        <w:t xml:space="preserve"> 1.4. </w:t>
      </w:r>
    </w:p>
    <w:p w:rsidR="00C6560F" w:rsidRDefault="00C6560F" w:rsidP="00DB470A">
      <w:pPr>
        <w:numPr>
          <w:ilvl w:val="12"/>
          <w:numId w:val="0"/>
        </w:numPr>
      </w:pPr>
      <w:r>
        <w:t xml:space="preserve">1.5. Ogólne wymagania dotyczące </w:t>
      </w:r>
      <w:proofErr w:type="spellStart"/>
      <w:r>
        <w:t>robótS</w:t>
      </w:r>
      <w:proofErr w:type="spellEnd"/>
      <w:r>
        <w:t xml:space="preserve"> OST D-M-00.00.00 „Wymagania ogólne” </w:t>
      </w:r>
      <w:proofErr w:type="spellStart"/>
      <w:r>
        <w:t>pkt</w:t>
      </w:r>
      <w:proofErr w:type="spellEnd"/>
      <w:r>
        <w:t xml:space="preserve"> 1.5.</w:t>
      </w:r>
    </w:p>
    <w:p w:rsidR="00C6560F" w:rsidRDefault="00C6560F" w:rsidP="00DB470A">
      <w:pPr>
        <w:pStyle w:val="Nagwek1"/>
        <w:numPr>
          <w:ilvl w:val="12"/>
          <w:numId w:val="0"/>
        </w:numPr>
      </w:pPr>
      <w:bookmarkStart w:id="4" w:name="_Toc423845939"/>
      <w:bookmarkStart w:id="5" w:name="_Toc423398331"/>
      <w:bookmarkStart w:id="6" w:name="_Toc32644946"/>
      <w:r>
        <w:t>2. materiały</w:t>
      </w:r>
      <w:bookmarkEnd w:id="4"/>
      <w:bookmarkEnd w:id="5"/>
      <w:bookmarkEnd w:id="6"/>
    </w:p>
    <w:p w:rsidR="00C6560F" w:rsidRDefault="00C6560F" w:rsidP="00DB470A">
      <w:pPr>
        <w:pStyle w:val="Nagwek2"/>
        <w:numPr>
          <w:ilvl w:val="12"/>
          <w:numId w:val="0"/>
        </w:numPr>
      </w:pPr>
      <w:r>
        <w:t>2.1. Ogólne wymagania dotyczące materiałów</w:t>
      </w:r>
    </w:p>
    <w:p w:rsidR="00C6560F" w:rsidRDefault="00C6560F" w:rsidP="00DB470A">
      <w:pPr>
        <w:numPr>
          <w:ilvl w:val="12"/>
          <w:numId w:val="0"/>
        </w:numPr>
      </w:pPr>
      <w:r>
        <w:tab/>
        <w:t xml:space="preserve">Ogólne wymagania dotyczące materiałów, ich pozyskiwania i składowania podano w SST D-M-00.00.00 „Wymagania ogólne” </w:t>
      </w:r>
      <w:proofErr w:type="spellStart"/>
      <w:r>
        <w:t>pkt</w:t>
      </w:r>
      <w:proofErr w:type="spellEnd"/>
      <w:r>
        <w:t xml:space="preserve"> 2.</w:t>
      </w:r>
    </w:p>
    <w:p w:rsidR="00C6560F" w:rsidRDefault="00C6560F" w:rsidP="00DB470A">
      <w:pPr>
        <w:pStyle w:val="Nagwek2"/>
        <w:numPr>
          <w:ilvl w:val="12"/>
          <w:numId w:val="0"/>
        </w:numPr>
      </w:pPr>
      <w:r>
        <w:lastRenderedPageBreak/>
        <w:t>2.2. Cement</w:t>
      </w:r>
    </w:p>
    <w:p w:rsidR="00C6560F" w:rsidRDefault="00C6560F" w:rsidP="00DB470A">
      <w:pPr>
        <w:numPr>
          <w:ilvl w:val="12"/>
          <w:numId w:val="0"/>
        </w:numPr>
      </w:pPr>
      <w:r>
        <w:tab/>
        <w:t xml:space="preserve">Należy stosować cementy powszechnego użytku: portlandzki CEM I klasy 32,5 N, cement portlandzki wieloskładnikowy CEM II klasy 32,5 N, cement hutniczy CEM III klasy 32,5 N, cement </w:t>
      </w:r>
      <w:proofErr w:type="spellStart"/>
      <w:r>
        <w:t>pucolanowy</w:t>
      </w:r>
      <w:proofErr w:type="spellEnd"/>
      <w:r>
        <w:t xml:space="preserve"> CEM IV klasy 32,5 N według PN-EN 197-1:2002 [5] .</w:t>
      </w:r>
    </w:p>
    <w:p w:rsidR="00C6560F" w:rsidRDefault="00C6560F" w:rsidP="00DB470A">
      <w:pPr>
        <w:numPr>
          <w:ilvl w:val="12"/>
          <w:numId w:val="0"/>
        </w:numPr>
      </w:pPr>
      <w:r>
        <w:tab/>
        <w:t>Wymagania dla cementu zestawiono w tablicy 2.</w:t>
      </w:r>
    </w:p>
    <w:p w:rsidR="00C6560F" w:rsidRDefault="00C6560F" w:rsidP="00DB470A">
      <w:pPr>
        <w:numPr>
          <w:ilvl w:val="12"/>
          <w:numId w:val="0"/>
        </w:numPr>
        <w:spacing w:before="120" w:after="120"/>
      </w:pPr>
      <w:r>
        <w:t>Tablica 2. Wymagania dla cementu do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5244"/>
        <w:gridCol w:w="1770"/>
      </w:tblGrid>
      <w:tr w:rsidR="00C6560F">
        <w:tc>
          <w:tcPr>
            <w:tcW w:w="496" w:type="dxa"/>
            <w:tcBorders>
              <w:bottom w:val="double" w:sz="6" w:space="0" w:color="auto"/>
            </w:tcBorders>
          </w:tcPr>
          <w:p w:rsidR="00C6560F" w:rsidRDefault="00C6560F" w:rsidP="00DB470A">
            <w:pPr>
              <w:numPr>
                <w:ilvl w:val="12"/>
                <w:numId w:val="0"/>
              </w:numPr>
              <w:spacing w:before="60" w:after="60"/>
              <w:jc w:val="center"/>
            </w:pPr>
            <w:r>
              <w:t>Lp.</w:t>
            </w:r>
          </w:p>
        </w:tc>
        <w:tc>
          <w:tcPr>
            <w:tcW w:w="5244" w:type="dxa"/>
            <w:tcBorders>
              <w:bottom w:val="double" w:sz="6" w:space="0" w:color="auto"/>
            </w:tcBorders>
          </w:tcPr>
          <w:p w:rsidR="00C6560F" w:rsidRDefault="00C6560F" w:rsidP="00DB470A">
            <w:pPr>
              <w:numPr>
                <w:ilvl w:val="12"/>
                <w:numId w:val="0"/>
              </w:numPr>
              <w:spacing w:before="60" w:after="60"/>
              <w:jc w:val="center"/>
            </w:pPr>
            <w:r>
              <w:t>Właściwości</w:t>
            </w:r>
          </w:p>
        </w:tc>
        <w:tc>
          <w:tcPr>
            <w:tcW w:w="1770" w:type="dxa"/>
            <w:tcBorders>
              <w:bottom w:val="double" w:sz="6" w:space="0" w:color="auto"/>
            </w:tcBorders>
          </w:tcPr>
          <w:p w:rsidR="00C6560F" w:rsidRDefault="00C6560F" w:rsidP="00DB470A">
            <w:pPr>
              <w:numPr>
                <w:ilvl w:val="12"/>
                <w:numId w:val="0"/>
              </w:numPr>
              <w:spacing w:before="60" w:after="60"/>
              <w:jc w:val="center"/>
            </w:pPr>
            <w:r>
              <w:t>Klasa cementu 32,5</w:t>
            </w:r>
          </w:p>
        </w:tc>
      </w:tr>
      <w:tr w:rsidR="00C6560F">
        <w:tc>
          <w:tcPr>
            <w:tcW w:w="496" w:type="dxa"/>
            <w:tcBorders>
              <w:top w:val="nil"/>
            </w:tcBorders>
          </w:tcPr>
          <w:p w:rsidR="00C6560F" w:rsidRDefault="00C6560F" w:rsidP="00DB470A">
            <w:pPr>
              <w:numPr>
                <w:ilvl w:val="12"/>
                <w:numId w:val="0"/>
              </w:numPr>
              <w:spacing w:before="60" w:after="60"/>
              <w:jc w:val="center"/>
            </w:pPr>
            <w:r>
              <w:t>1</w:t>
            </w:r>
          </w:p>
        </w:tc>
        <w:tc>
          <w:tcPr>
            <w:tcW w:w="5244" w:type="dxa"/>
            <w:tcBorders>
              <w:top w:val="nil"/>
            </w:tcBorders>
          </w:tcPr>
          <w:p w:rsidR="00C6560F" w:rsidRDefault="00C6560F" w:rsidP="00DB470A">
            <w:pPr>
              <w:numPr>
                <w:ilvl w:val="12"/>
                <w:numId w:val="0"/>
              </w:numPr>
              <w:spacing w:before="60" w:after="60"/>
            </w:pPr>
            <w:r>
              <w:t>Wytrzymałość na ściskanie (</w:t>
            </w:r>
            <w:proofErr w:type="spellStart"/>
            <w:r>
              <w:t>MPa</w:t>
            </w:r>
            <w:proofErr w:type="spellEnd"/>
            <w:r>
              <w:t>), po 7 dniach, nie mniej niż:</w:t>
            </w:r>
          </w:p>
        </w:tc>
        <w:tc>
          <w:tcPr>
            <w:tcW w:w="1770" w:type="dxa"/>
            <w:tcBorders>
              <w:top w:val="nil"/>
            </w:tcBorders>
          </w:tcPr>
          <w:p w:rsidR="00C6560F" w:rsidRDefault="00C6560F" w:rsidP="00DB470A">
            <w:pPr>
              <w:numPr>
                <w:ilvl w:val="12"/>
                <w:numId w:val="0"/>
              </w:numPr>
              <w:spacing w:before="60" w:after="60"/>
              <w:jc w:val="center"/>
            </w:pPr>
            <w:r>
              <w:t>16</w:t>
            </w:r>
          </w:p>
        </w:tc>
      </w:tr>
      <w:tr w:rsidR="00C6560F">
        <w:tc>
          <w:tcPr>
            <w:tcW w:w="496" w:type="dxa"/>
          </w:tcPr>
          <w:p w:rsidR="00C6560F" w:rsidRDefault="00C6560F" w:rsidP="00DB470A">
            <w:pPr>
              <w:numPr>
                <w:ilvl w:val="12"/>
                <w:numId w:val="0"/>
              </w:numPr>
              <w:spacing w:before="60" w:after="60"/>
              <w:jc w:val="center"/>
            </w:pPr>
            <w:r>
              <w:t>2</w:t>
            </w:r>
          </w:p>
        </w:tc>
        <w:tc>
          <w:tcPr>
            <w:tcW w:w="5244" w:type="dxa"/>
          </w:tcPr>
          <w:p w:rsidR="00C6560F" w:rsidRDefault="00C6560F" w:rsidP="00DB470A">
            <w:pPr>
              <w:numPr>
                <w:ilvl w:val="12"/>
                <w:numId w:val="0"/>
              </w:numPr>
              <w:spacing w:before="60" w:after="60"/>
            </w:pPr>
            <w:r>
              <w:t>Wytrzymałość na ściskanie (</w:t>
            </w:r>
            <w:proofErr w:type="spellStart"/>
            <w:r>
              <w:t>MPa</w:t>
            </w:r>
            <w:proofErr w:type="spellEnd"/>
            <w:r>
              <w:t>), po 28 dniach, nie mniej niż:</w:t>
            </w:r>
          </w:p>
        </w:tc>
        <w:tc>
          <w:tcPr>
            <w:tcW w:w="1770" w:type="dxa"/>
          </w:tcPr>
          <w:p w:rsidR="00C6560F" w:rsidRDefault="00C6560F" w:rsidP="00DB470A">
            <w:pPr>
              <w:numPr>
                <w:ilvl w:val="12"/>
                <w:numId w:val="0"/>
              </w:numPr>
              <w:spacing w:before="60" w:after="60"/>
              <w:jc w:val="center"/>
            </w:pPr>
            <w:r>
              <w:t>32,5</w:t>
            </w:r>
          </w:p>
        </w:tc>
      </w:tr>
      <w:tr w:rsidR="00C6560F">
        <w:tc>
          <w:tcPr>
            <w:tcW w:w="496" w:type="dxa"/>
          </w:tcPr>
          <w:p w:rsidR="00C6560F" w:rsidRDefault="00C6560F" w:rsidP="00DB470A">
            <w:pPr>
              <w:numPr>
                <w:ilvl w:val="12"/>
                <w:numId w:val="0"/>
              </w:numPr>
              <w:spacing w:before="60" w:after="60"/>
              <w:jc w:val="center"/>
            </w:pPr>
            <w:r>
              <w:t>3</w:t>
            </w:r>
          </w:p>
        </w:tc>
        <w:tc>
          <w:tcPr>
            <w:tcW w:w="5244" w:type="dxa"/>
          </w:tcPr>
          <w:p w:rsidR="00C6560F" w:rsidRDefault="00C6560F" w:rsidP="00DB470A">
            <w:pPr>
              <w:numPr>
                <w:ilvl w:val="12"/>
                <w:numId w:val="0"/>
              </w:numPr>
              <w:spacing w:before="60" w:after="60"/>
            </w:pPr>
            <w:r>
              <w:t>Początek czasu wiązania, min , nie wcześniej niż:</w:t>
            </w:r>
          </w:p>
        </w:tc>
        <w:tc>
          <w:tcPr>
            <w:tcW w:w="1770" w:type="dxa"/>
          </w:tcPr>
          <w:p w:rsidR="00C6560F" w:rsidRDefault="00C6560F" w:rsidP="00DB470A">
            <w:pPr>
              <w:numPr>
                <w:ilvl w:val="12"/>
                <w:numId w:val="0"/>
              </w:numPr>
              <w:spacing w:before="60" w:after="60"/>
              <w:jc w:val="center"/>
            </w:pPr>
            <w:r>
              <w:t>75</w:t>
            </w:r>
          </w:p>
        </w:tc>
      </w:tr>
      <w:tr w:rsidR="00C6560F">
        <w:tc>
          <w:tcPr>
            <w:tcW w:w="496" w:type="dxa"/>
          </w:tcPr>
          <w:p w:rsidR="00C6560F" w:rsidRDefault="00C6560F" w:rsidP="00DB470A">
            <w:pPr>
              <w:numPr>
                <w:ilvl w:val="12"/>
                <w:numId w:val="0"/>
              </w:numPr>
              <w:spacing w:before="60" w:after="60"/>
              <w:jc w:val="center"/>
            </w:pPr>
            <w:r>
              <w:t>4</w:t>
            </w:r>
          </w:p>
        </w:tc>
        <w:tc>
          <w:tcPr>
            <w:tcW w:w="5244" w:type="dxa"/>
          </w:tcPr>
          <w:p w:rsidR="00C6560F" w:rsidRDefault="00C6560F" w:rsidP="00DB470A">
            <w:pPr>
              <w:numPr>
                <w:ilvl w:val="12"/>
                <w:numId w:val="0"/>
              </w:numPr>
              <w:spacing w:before="60" w:after="60"/>
            </w:pPr>
            <w:r>
              <w:t>Stałość objętości, mm, nie więcej niż:</w:t>
            </w:r>
          </w:p>
        </w:tc>
        <w:tc>
          <w:tcPr>
            <w:tcW w:w="1770" w:type="dxa"/>
          </w:tcPr>
          <w:p w:rsidR="00C6560F" w:rsidRDefault="00C6560F" w:rsidP="00DB470A">
            <w:pPr>
              <w:numPr>
                <w:ilvl w:val="12"/>
                <w:numId w:val="0"/>
              </w:numPr>
              <w:spacing w:before="60" w:after="60"/>
              <w:jc w:val="center"/>
            </w:pPr>
            <w:r>
              <w:t>10</w:t>
            </w:r>
          </w:p>
        </w:tc>
      </w:tr>
    </w:tbl>
    <w:p w:rsidR="00C6560F" w:rsidRDefault="00C6560F" w:rsidP="00DB470A">
      <w:pPr>
        <w:numPr>
          <w:ilvl w:val="12"/>
          <w:numId w:val="0"/>
        </w:numPr>
      </w:pPr>
    </w:p>
    <w:p w:rsidR="00C6560F" w:rsidRDefault="00C6560F" w:rsidP="00DB470A">
      <w:pPr>
        <w:numPr>
          <w:ilvl w:val="12"/>
          <w:numId w:val="0"/>
        </w:numPr>
      </w:pPr>
      <w:r>
        <w:tab/>
        <w:t>Przechowywanie cementu powinno się odbywać zgodnie z BN-88/6731-08 [22].</w:t>
      </w:r>
    </w:p>
    <w:p w:rsidR="00C6560F" w:rsidRDefault="00C6560F" w:rsidP="00DB470A">
      <w:pPr>
        <w:pStyle w:val="Nagwek2"/>
        <w:numPr>
          <w:ilvl w:val="12"/>
          <w:numId w:val="0"/>
        </w:numPr>
      </w:pPr>
      <w:r>
        <w:t>2.3. Kruszywo</w:t>
      </w:r>
    </w:p>
    <w:p w:rsidR="00C6560F" w:rsidRDefault="00C6560F" w:rsidP="00DB470A">
      <w:pPr>
        <w:numPr>
          <w:ilvl w:val="12"/>
          <w:numId w:val="0"/>
        </w:numPr>
      </w:pPr>
      <w:r>
        <w:tab/>
        <w:t>Do wykonania mieszanki chudego betonu należy stosować:</w:t>
      </w:r>
    </w:p>
    <w:p w:rsidR="00C6560F" w:rsidRDefault="00C6560F" w:rsidP="00DB470A">
      <w:pPr>
        <w:numPr>
          <w:ilvl w:val="0"/>
          <w:numId w:val="2"/>
        </w:numPr>
      </w:pPr>
      <w:r>
        <w:t>żwir i mieszankę wg PN-B-11111:1996 [14],</w:t>
      </w:r>
    </w:p>
    <w:p w:rsidR="00C6560F" w:rsidRDefault="00C6560F" w:rsidP="00DB470A">
      <w:pPr>
        <w:numPr>
          <w:ilvl w:val="0"/>
          <w:numId w:val="2"/>
        </w:numPr>
      </w:pPr>
      <w:r>
        <w:t>piasek wg PN-B-11113:1996 [16],</w:t>
      </w:r>
    </w:p>
    <w:p w:rsidR="00C6560F" w:rsidRDefault="00C6560F" w:rsidP="00DB470A">
      <w:pPr>
        <w:numPr>
          <w:ilvl w:val="0"/>
          <w:numId w:val="2"/>
        </w:numPr>
      </w:pPr>
      <w:r>
        <w:t>kruszywo łamane wg PN-B-11112:1996 [15] i WT/MK-CZDP84 [26],</w:t>
      </w:r>
    </w:p>
    <w:p w:rsidR="00C6560F" w:rsidRDefault="00C6560F" w:rsidP="00DB470A">
      <w:pPr>
        <w:numPr>
          <w:ilvl w:val="0"/>
          <w:numId w:val="2"/>
        </w:numPr>
      </w:pPr>
      <w:r>
        <w:t>kruszywo żużlowe z żużla wielkopiecowego kawałkowego wg PN-B-23004: 1988 [17],</w:t>
      </w:r>
    </w:p>
    <w:p w:rsidR="00C6560F" w:rsidRDefault="00C6560F" w:rsidP="00DB470A">
      <w:pPr>
        <w:numPr>
          <w:ilvl w:val="0"/>
          <w:numId w:val="2"/>
        </w:numPr>
      </w:pPr>
      <w:r>
        <w:t xml:space="preserve">kruszywo z recyklingu betonu o ziarnach większych niż </w:t>
      </w:r>
      <w:smartTag w:uri="urn:schemas-microsoft-com:office:smarttags" w:element="metricconverter">
        <w:smartTagPr>
          <w:attr w:name="ProductID" w:val="4 mm"/>
        </w:smartTagPr>
        <w:r>
          <w:t xml:space="preserve">4 </w:t>
        </w:r>
        <w:proofErr w:type="spellStart"/>
        <w:r>
          <w:t>mm</w:t>
        </w:r>
      </w:smartTag>
      <w:proofErr w:type="spellEnd"/>
      <w:r>
        <w:t>.</w:t>
      </w:r>
    </w:p>
    <w:p w:rsidR="00C6560F" w:rsidRDefault="00C6560F" w:rsidP="00DB470A">
      <w:pPr>
        <w:numPr>
          <w:ilvl w:val="12"/>
          <w:numId w:val="0"/>
        </w:numPr>
      </w:pPr>
      <w:r>
        <w:tab/>
        <w:t>Kruszywo powinno spełniać wymagania określone w normie PN-S-96013:1997 [20].</w:t>
      </w:r>
    </w:p>
    <w:p w:rsidR="00C6560F" w:rsidRDefault="00C6560F" w:rsidP="00DB470A">
      <w:pPr>
        <w:numPr>
          <w:ilvl w:val="12"/>
          <w:numId w:val="0"/>
        </w:numPr>
      </w:pPr>
      <w:r>
        <w:tab/>
        <w:t>Kruszywo żużlowe powinno być całkowicie odporne na rozpad krzemianowy według PN-B-06714-37:1980 [12] i żelazawy według PN-B-06714-39:1978 [13].</w:t>
      </w:r>
    </w:p>
    <w:p w:rsidR="00C6560F" w:rsidRDefault="00C6560F" w:rsidP="00DB470A">
      <w:pPr>
        <w:pStyle w:val="Nagwek2"/>
        <w:numPr>
          <w:ilvl w:val="12"/>
          <w:numId w:val="0"/>
        </w:numPr>
      </w:pPr>
      <w:r>
        <w:t>2.4. Woda</w:t>
      </w:r>
    </w:p>
    <w:p w:rsidR="00C6560F" w:rsidRDefault="00C6560F" w:rsidP="00DB470A">
      <w:pPr>
        <w:numPr>
          <w:ilvl w:val="12"/>
          <w:numId w:val="0"/>
        </w:numPr>
      </w:pPr>
      <w:r>
        <w:tab/>
        <w:t xml:space="preserve">Do wytwarzania mieszanki betonowej jak i do pielęgnacji wykonanej podbudowy należy stosować wodę odpowiadającą wymaganiom normy PN-B-32250:1988 [18]. Bez badań laboratoryjnych można stosować wodociągową wodę pitną. </w:t>
      </w:r>
    </w:p>
    <w:p w:rsidR="00C6560F" w:rsidRDefault="00C6560F" w:rsidP="00DB470A">
      <w:pPr>
        <w:pStyle w:val="Nagwek2"/>
        <w:numPr>
          <w:ilvl w:val="12"/>
          <w:numId w:val="0"/>
        </w:numPr>
      </w:pPr>
      <w:r>
        <w:t>2.6. Materiały do pielęgnacji podbudowy z chudego betonu</w:t>
      </w:r>
    </w:p>
    <w:p w:rsidR="00C6560F" w:rsidRDefault="00C6560F" w:rsidP="00DB470A">
      <w:pPr>
        <w:numPr>
          <w:ilvl w:val="12"/>
          <w:numId w:val="0"/>
        </w:numPr>
      </w:pPr>
      <w:r>
        <w:tab/>
        <w:t>Do pielęgnacji podbudowy z chudego betonu mogą być stosowane:</w:t>
      </w:r>
    </w:p>
    <w:p w:rsidR="00C6560F" w:rsidRDefault="00C6560F" w:rsidP="00DB470A">
      <w:pPr>
        <w:numPr>
          <w:ilvl w:val="0"/>
          <w:numId w:val="2"/>
        </w:numPr>
      </w:pPr>
      <w:r>
        <w:t>preparaty pielęgnacyjne posiadające aprobatę techniczną,</w:t>
      </w:r>
    </w:p>
    <w:p w:rsidR="00C6560F" w:rsidRDefault="00C6560F" w:rsidP="00DB470A">
      <w:pPr>
        <w:numPr>
          <w:ilvl w:val="0"/>
          <w:numId w:val="2"/>
        </w:numPr>
      </w:pPr>
      <w:r>
        <w:t>folie z tworzyw sztucznych,</w:t>
      </w:r>
    </w:p>
    <w:p w:rsidR="00C6560F" w:rsidRDefault="00C6560F" w:rsidP="00DB470A">
      <w:pPr>
        <w:numPr>
          <w:ilvl w:val="0"/>
          <w:numId w:val="2"/>
        </w:numPr>
      </w:pPr>
      <w:r>
        <w:t>włókniny według PN-P-01715:1985 [19],</w:t>
      </w:r>
    </w:p>
    <w:p w:rsidR="00C6560F" w:rsidRDefault="00C6560F" w:rsidP="00DB470A">
      <w:pPr>
        <w:numPr>
          <w:ilvl w:val="0"/>
          <w:numId w:val="2"/>
        </w:numPr>
      </w:pPr>
      <w:r>
        <w:t>piasek i woda.</w:t>
      </w:r>
    </w:p>
    <w:p w:rsidR="00C6560F" w:rsidRDefault="00C6560F" w:rsidP="00DB470A">
      <w:pPr>
        <w:pStyle w:val="Nagwek1"/>
        <w:numPr>
          <w:ilvl w:val="12"/>
          <w:numId w:val="0"/>
        </w:numPr>
      </w:pPr>
      <w:bookmarkStart w:id="7" w:name="_Toc423845940"/>
      <w:bookmarkStart w:id="8" w:name="_Toc418394439"/>
      <w:bookmarkStart w:id="9" w:name="_Toc32644947"/>
      <w:r>
        <w:t>3. SPRZĘT</w:t>
      </w:r>
      <w:bookmarkEnd w:id="7"/>
      <w:bookmarkEnd w:id="8"/>
      <w:bookmarkEnd w:id="9"/>
    </w:p>
    <w:p w:rsidR="00C6560F" w:rsidRDefault="00C6560F" w:rsidP="00DB470A">
      <w:pPr>
        <w:pStyle w:val="Nagwek2"/>
        <w:numPr>
          <w:ilvl w:val="12"/>
          <w:numId w:val="0"/>
        </w:numPr>
      </w:pPr>
      <w:r>
        <w:t>3.1. Ogólne wymagania dotyczące sprzętu</w:t>
      </w:r>
    </w:p>
    <w:p w:rsidR="00C6560F" w:rsidRDefault="00C6560F" w:rsidP="00DB470A">
      <w:pPr>
        <w:numPr>
          <w:ilvl w:val="12"/>
          <w:numId w:val="0"/>
        </w:numPr>
        <w:ind w:right="-11"/>
      </w:pPr>
      <w:r>
        <w:rPr>
          <w:b/>
        </w:rPr>
        <w:tab/>
      </w:r>
      <w:r>
        <w:t xml:space="preserve">Ogólne wymagania dotyczące sprzętu podano w SST D-M-00.00.00 „Wymagania ogólne” </w:t>
      </w:r>
      <w:proofErr w:type="spellStart"/>
      <w:r>
        <w:t>pkt</w:t>
      </w:r>
      <w:proofErr w:type="spellEnd"/>
      <w:r>
        <w:t xml:space="preserve"> 3.</w:t>
      </w:r>
    </w:p>
    <w:p w:rsidR="00C6560F" w:rsidRDefault="00C6560F" w:rsidP="00DB470A">
      <w:pPr>
        <w:pStyle w:val="Nagwek2"/>
        <w:numPr>
          <w:ilvl w:val="12"/>
          <w:numId w:val="0"/>
        </w:numPr>
      </w:pPr>
      <w:r>
        <w:t>3.2. Sprzęt do wykonywania podbudowy z chudego betonu</w:t>
      </w:r>
    </w:p>
    <w:p w:rsidR="00C6560F" w:rsidRDefault="00C6560F" w:rsidP="00DB470A">
      <w:pPr>
        <w:numPr>
          <w:ilvl w:val="12"/>
          <w:numId w:val="0"/>
        </w:numPr>
        <w:ind w:right="-11"/>
      </w:pPr>
      <w:r>
        <w:tab/>
        <w:t>Wykonawca przystępujący do wykonania podbudowy z chudego betonu, powinien wykazać się możliwością korzystania z następującego sprzętu:</w:t>
      </w:r>
    </w:p>
    <w:p w:rsidR="00C6560F" w:rsidRDefault="00C6560F" w:rsidP="00DB470A">
      <w:pPr>
        <w:numPr>
          <w:ilvl w:val="0"/>
          <w:numId w:val="2"/>
        </w:numPr>
        <w:ind w:right="-14"/>
        <w:rPr>
          <w:rFonts w:ascii="Century Gothic" w:hAnsi="Century Gothic"/>
          <w:b/>
          <w:sz w:val="28"/>
        </w:rPr>
      </w:pPr>
      <w:r>
        <w:t xml:space="preserve">wytwórni stacjonarnej lub mobilnej do wytwarzania chudej mieszanki betonowej. Wytwórnia powinna być wyposażona w urządzenia do wagowego dozowania wszystkich składników, gwarantujące następujące tolerancje dozowania, wyrażone w stosunku do masy poszczególnych składników: kruszywo </w:t>
      </w:r>
      <w:r>
        <w:sym w:font="Symbol" w:char="F0B1"/>
      </w:r>
      <w:r>
        <w:t xml:space="preserve"> 3%, cement </w:t>
      </w:r>
      <w:r>
        <w:sym w:font="Symbol" w:char="F0B1"/>
      </w:r>
      <w:r>
        <w:t xml:space="preserve"> 0,5%, woda </w:t>
      </w:r>
      <w:r>
        <w:sym w:font="Symbol" w:char="F0B1"/>
      </w:r>
      <w:r>
        <w:t xml:space="preserve"> 2%. Inżynier może dopuścić objętościowe dozowanie wody,</w:t>
      </w:r>
    </w:p>
    <w:p w:rsidR="00C6560F" w:rsidRDefault="00C6560F" w:rsidP="00DB470A">
      <w:pPr>
        <w:numPr>
          <w:ilvl w:val="0"/>
          <w:numId w:val="2"/>
        </w:numPr>
        <w:ind w:right="-14"/>
        <w:rPr>
          <w:rFonts w:ascii="Century Gothic" w:hAnsi="Century Gothic"/>
          <w:b/>
          <w:sz w:val="28"/>
        </w:rPr>
      </w:pPr>
      <w:r>
        <w:t>przewoźnych zbiorników na wodę,</w:t>
      </w:r>
    </w:p>
    <w:p w:rsidR="00C6560F" w:rsidRDefault="00C6560F" w:rsidP="00DB470A">
      <w:pPr>
        <w:numPr>
          <w:ilvl w:val="0"/>
          <w:numId w:val="2"/>
        </w:numPr>
        <w:ind w:right="-14"/>
        <w:rPr>
          <w:rFonts w:ascii="Century Gothic" w:hAnsi="Century Gothic"/>
          <w:b/>
          <w:sz w:val="28"/>
        </w:rPr>
      </w:pPr>
      <w:r>
        <w:t>układarek albo równiarek  do rozkładania chudej mieszanki betonowej,</w:t>
      </w:r>
    </w:p>
    <w:p w:rsidR="00C6560F" w:rsidRDefault="00C6560F" w:rsidP="00DB470A">
      <w:pPr>
        <w:numPr>
          <w:ilvl w:val="0"/>
          <w:numId w:val="2"/>
        </w:numPr>
        <w:ind w:right="-14"/>
        <w:rPr>
          <w:rFonts w:ascii="Century Gothic" w:hAnsi="Century Gothic"/>
          <w:b/>
          <w:sz w:val="28"/>
        </w:rPr>
      </w:pPr>
      <w:r>
        <w:t>walców wibracyjnych lub statycznych do zagęszczania lub płyty wibracyjne,</w:t>
      </w:r>
    </w:p>
    <w:p w:rsidR="00C6560F" w:rsidRDefault="00C6560F" w:rsidP="00DB470A">
      <w:pPr>
        <w:numPr>
          <w:ilvl w:val="0"/>
          <w:numId w:val="2"/>
        </w:numPr>
        <w:ind w:right="-14"/>
        <w:rPr>
          <w:rFonts w:ascii="Century Gothic" w:hAnsi="Century Gothic"/>
          <w:b/>
          <w:sz w:val="28"/>
        </w:rPr>
      </w:pPr>
      <w:r>
        <w:lastRenderedPageBreak/>
        <w:t>zagęszczarek płytowych, ubijaków mechanicznych lub małych walców wibracyjnych do zagęszczania w miejscach trudno dostępnych.</w:t>
      </w:r>
    </w:p>
    <w:p w:rsidR="00C6560F" w:rsidRDefault="00C6560F" w:rsidP="00DB470A">
      <w:pPr>
        <w:pStyle w:val="Nagwek1"/>
        <w:numPr>
          <w:ilvl w:val="12"/>
          <w:numId w:val="0"/>
        </w:numPr>
      </w:pPr>
      <w:bookmarkStart w:id="10" w:name="_Toc423845941"/>
      <w:bookmarkStart w:id="11" w:name="_Toc418394440"/>
      <w:bookmarkStart w:id="12" w:name="_Toc32644948"/>
      <w:r>
        <w:t>4. TRANSPORT</w:t>
      </w:r>
      <w:bookmarkEnd w:id="10"/>
      <w:bookmarkEnd w:id="11"/>
      <w:bookmarkEnd w:id="12"/>
    </w:p>
    <w:p w:rsidR="00C6560F" w:rsidRDefault="00C6560F" w:rsidP="00DB470A">
      <w:pPr>
        <w:pStyle w:val="Nagwek2"/>
        <w:numPr>
          <w:ilvl w:val="12"/>
          <w:numId w:val="0"/>
        </w:numPr>
      </w:pPr>
      <w:r>
        <w:t>4.1. Ogólne wymagania dotyczące transportu</w:t>
      </w:r>
    </w:p>
    <w:p w:rsidR="00C6560F" w:rsidRDefault="00C6560F" w:rsidP="00DB470A">
      <w:pPr>
        <w:numPr>
          <w:ilvl w:val="12"/>
          <w:numId w:val="0"/>
        </w:numPr>
        <w:ind w:right="-11"/>
      </w:pPr>
      <w:r>
        <w:tab/>
        <w:t xml:space="preserve">Ogólne wymagania dotyczące transportu podano w SST D-M-00.00.00 „Wymagania ogólne” </w:t>
      </w:r>
      <w:proofErr w:type="spellStart"/>
      <w:r>
        <w:t>pkt</w:t>
      </w:r>
      <w:proofErr w:type="spellEnd"/>
      <w:r>
        <w:t xml:space="preserve"> 4.</w:t>
      </w:r>
    </w:p>
    <w:p w:rsidR="00C6560F" w:rsidRDefault="00C6560F" w:rsidP="00DB470A">
      <w:pPr>
        <w:pStyle w:val="Nagwek2"/>
        <w:numPr>
          <w:ilvl w:val="12"/>
          <w:numId w:val="0"/>
        </w:numPr>
      </w:pPr>
      <w:r>
        <w:t>4.2. Transport materiałów</w:t>
      </w:r>
    </w:p>
    <w:p w:rsidR="00C6560F" w:rsidRDefault="00C6560F" w:rsidP="00DB470A">
      <w:pPr>
        <w:numPr>
          <w:ilvl w:val="12"/>
          <w:numId w:val="0"/>
        </w:numPr>
      </w:pPr>
      <w:r>
        <w:tab/>
        <w:t>Transport cementu powinien odbywać się zgodnie z BN-88/6731-08 [22]. Cement luzem należy przewozić cementowozami, natomiast cement workowany można przewozić dowolnymi środkami transportu, w sposób zabezpieczony przed zawilgoceniem.</w:t>
      </w:r>
    </w:p>
    <w:p w:rsidR="00C6560F" w:rsidRDefault="00C6560F" w:rsidP="00DB470A">
      <w:pPr>
        <w:numPr>
          <w:ilvl w:val="12"/>
          <w:numId w:val="0"/>
        </w:numPr>
        <w:ind w:right="-11"/>
      </w:pPr>
      <w:r>
        <w:tab/>
        <w:t>Kruszywo można przewozić dowolnymi środkami transportu w warunkach zabezpieczających je przed zanieczyszczeniem, zmieszaniem z innymi materiałami i zawilgoceniem.</w:t>
      </w:r>
    </w:p>
    <w:p w:rsidR="00C6560F" w:rsidRDefault="00C6560F" w:rsidP="00DB470A">
      <w:pPr>
        <w:numPr>
          <w:ilvl w:val="12"/>
          <w:numId w:val="0"/>
        </w:numPr>
        <w:ind w:right="-11"/>
      </w:pPr>
      <w:r>
        <w:tab/>
        <w:t>Woda może być dostarczana wodociągiem lub przewoźnymi zbiornikami wody,</w:t>
      </w:r>
    </w:p>
    <w:p w:rsidR="00C6560F" w:rsidRDefault="00C6560F" w:rsidP="00DB470A">
      <w:pPr>
        <w:numPr>
          <w:ilvl w:val="12"/>
          <w:numId w:val="0"/>
        </w:numPr>
        <w:ind w:right="-11"/>
      </w:pPr>
      <w:r>
        <w:tab/>
        <w:t>Transport mieszanki chudego betonu powinien odbywać się zgodnie z PN-S-96013:1997 [20].</w:t>
      </w:r>
    </w:p>
    <w:p w:rsidR="00C6560F" w:rsidRDefault="00C6560F" w:rsidP="00DB470A">
      <w:pPr>
        <w:pStyle w:val="Nagwek1"/>
        <w:numPr>
          <w:ilvl w:val="12"/>
          <w:numId w:val="0"/>
        </w:numPr>
      </w:pPr>
      <w:bookmarkStart w:id="13" w:name="_Toc423845942"/>
      <w:bookmarkStart w:id="14" w:name="_Toc418394441"/>
      <w:bookmarkStart w:id="15" w:name="_Toc32644949"/>
      <w:r>
        <w:t>5. WYKONANIE ROBÓT</w:t>
      </w:r>
      <w:bookmarkEnd w:id="13"/>
      <w:bookmarkEnd w:id="14"/>
      <w:bookmarkEnd w:id="15"/>
    </w:p>
    <w:p w:rsidR="00C6560F" w:rsidRDefault="00C6560F" w:rsidP="00DB470A">
      <w:pPr>
        <w:pStyle w:val="Nagwek2"/>
        <w:numPr>
          <w:ilvl w:val="12"/>
          <w:numId w:val="0"/>
        </w:numPr>
      </w:pPr>
      <w:r>
        <w:t>5.1. Ogólne zasady wykonania robót</w:t>
      </w:r>
    </w:p>
    <w:p w:rsidR="00C6560F" w:rsidRDefault="00C6560F" w:rsidP="00DB470A">
      <w:pPr>
        <w:numPr>
          <w:ilvl w:val="12"/>
          <w:numId w:val="0"/>
        </w:numPr>
      </w:pPr>
      <w:r>
        <w:tab/>
        <w:t xml:space="preserve">Ogólne zasady wykonania robót podano w SST D-M-00.00.00 „Wymagania ogólne” </w:t>
      </w:r>
      <w:proofErr w:type="spellStart"/>
      <w:r>
        <w:t>pkt</w:t>
      </w:r>
      <w:proofErr w:type="spellEnd"/>
      <w:r>
        <w:t xml:space="preserve"> 5.</w:t>
      </w:r>
    </w:p>
    <w:p w:rsidR="00C6560F" w:rsidRDefault="00C6560F" w:rsidP="00DB470A">
      <w:pPr>
        <w:pStyle w:val="Nagwek2"/>
        <w:numPr>
          <w:ilvl w:val="12"/>
          <w:numId w:val="0"/>
        </w:numPr>
      </w:pPr>
      <w:r>
        <w:t>5.2. Projektowanie mieszanki chudego betonu</w:t>
      </w:r>
    </w:p>
    <w:p w:rsidR="00C6560F" w:rsidRDefault="00C6560F" w:rsidP="00DB470A">
      <w:pPr>
        <w:numPr>
          <w:ilvl w:val="12"/>
          <w:numId w:val="0"/>
        </w:numPr>
      </w:pPr>
      <w:r>
        <w:tab/>
        <w:t>Przed przystąpieniem do robót, w terminie uzgodnionym z Inżynierem, Wykonawca dostarczy Inżynierowi do akceptacji projekt składu mieszanki chudego betonu oraz wyniki badań laboratoryjnych poszczególnych składników i próbki materiałów pobrane w obecności Inżyniera do wykonania badań kontrolnych przez Inżyniera.</w:t>
      </w:r>
    </w:p>
    <w:p w:rsidR="00C6560F" w:rsidRDefault="00C6560F" w:rsidP="00DB470A">
      <w:pPr>
        <w:numPr>
          <w:ilvl w:val="12"/>
          <w:numId w:val="0"/>
        </w:numPr>
      </w:pPr>
      <w:r>
        <w:tab/>
        <w:t>Projektowanie mieszanki chudego betonu polega na:</w:t>
      </w:r>
    </w:p>
    <w:p w:rsidR="00C6560F" w:rsidRDefault="00C6560F" w:rsidP="00DB470A">
      <w:pPr>
        <w:numPr>
          <w:ilvl w:val="0"/>
          <w:numId w:val="3"/>
        </w:numPr>
        <w:tabs>
          <w:tab w:val="left" w:pos="360"/>
        </w:tabs>
      </w:pPr>
      <w:r>
        <w:t>doborze kruszywa do mieszanki,</w:t>
      </w:r>
    </w:p>
    <w:p w:rsidR="00C6560F" w:rsidRDefault="00C6560F" w:rsidP="00DB470A">
      <w:pPr>
        <w:numPr>
          <w:ilvl w:val="0"/>
          <w:numId w:val="3"/>
        </w:numPr>
        <w:tabs>
          <w:tab w:val="left" w:pos="360"/>
        </w:tabs>
      </w:pPr>
      <w:r>
        <w:t>doborze ilości cementu,</w:t>
      </w:r>
    </w:p>
    <w:p w:rsidR="00C6560F" w:rsidRDefault="00C6560F" w:rsidP="00DB470A">
      <w:pPr>
        <w:numPr>
          <w:ilvl w:val="0"/>
          <w:numId w:val="3"/>
        </w:numPr>
        <w:tabs>
          <w:tab w:val="left" w:pos="360"/>
        </w:tabs>
      </w:pPr>
      <w:r>
        <w:t>doborze ilości wody.</w:t>
      </w:r>
    </w:p>
    <w:p w:rsidR="00C6560F" w:rsidRDefault="00C6560F" w:rsidP="00DB470A">
      <w:pPr>
        <w:numPr>
          <w:ilvl w:val="12"/>
          <w:numId w:val="0"/>
        </w:numPr>
      </w:pPr>
      <w:r>
        <w:tab/>
        <w:t>Krzywa uziarnienia mieszanki mineralnej powinna mieścić się w polu dobrego uziarnienia wyznaczonego przez krzywe graniczne wg PN-S-96013: 1997 [20].</w:t>
      </w:r>
    </w:p>
    <w:p w:rsidR="00C6560F" w:rsidRDefault="00C6560F" w:rsidP="00DB470A">
      <w:pPr>
        <w:numPr>
          <w:ilvl w:val="12"/>
          <w:numId w:val="0"/>
        </w:numPr>
      </w:pPr>
      <w:r>
        <w:tab/>
        <w:t>Rzędne krzywych granicznych uziarnienia mieszanek mineralnych podano w tablicy 3 i na rysunku 1 i 2.</w:t>
      </w:r>
    </w:p>
    <w:p w:rsidR="00C6560F" w:rsidRDefault="00C6560F" w:rsidP="00DB470A">
      <w:pPr>
        <w:numPr>
          <w:ilvl w:val="12"/>
          <w:numId w:val="0"/>
        </w:numPr>
      </w:pPr>
      <w:r>
        <w:tab/>
        <w:t>Uziarnienie kruszywa powinno być tak dobrane, aby mieszanka betonowa wykazywała maksymalną szczelność i urabialność przy minimalnym zużyciu cementu i wody.</w:t>
      </w:r>
    </w:p>
    <w:p w:rsidR="00C6560F" w:rsidRDefault="00C6560F" w:rsidP="00DB470A">
      <w:pPr>
        <w:numPr>
          <w:ilvl w:val="12"/>
          <w:numId w:val="0"/>
        </w:numPr>
        <w:spacing w:after="120"/>
      </w:pPr>
      <w:r>
        <w:t>Tablica 3.Rzędne krzywych granicznych uziarnienia mieszanki mineralnej.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727"/>
        <w:gridCol w:w="2727"/>
      </w:tblGrid>
      <w:tr w:rsidR="00C6560F">
        <w:tc>
          <w:tcPr>
            <w:tcW w:w="2055" w:type="dxa"/>
            <w:tcBorders>
              <w:bottom w:val="double" w:sz="6" w:space="0" w:color="auto"/>
            </w:tcBorders>
          </w:tcPr>
          <w:p w:rsidR="00C6560F" w:rsidRDefault="00C6560F" w:rsidP="00DB470A">
            <w:pPr>
              <w:numPr>
                <w:ilvl w:val="12"/>
                <w:numId w:val="0"/>
              </w:numPr>
              <w:jc w:val="center"/>
            </w:pPr>
            <w:r>
              <w:t>Sito o boku oczka kwadratowego (mm)</w:t>
            </w:r>
          </w:p>
        </w:tc>
        <w:tc>
          <w:tcPr>
            <w:tcW w:w="2727" w:type="dxa"/>
            <w:tcBorders>
              <w:bottom w:val="double" w:sz="6" w:space="0" w:color="auto"/>
            </w:tcBorders>
          </w:tcPr>
          <w:p w:rsidR="00C6560F" w:rsidRDefault="00C6560F" w:rsidP="00DB470A">
            <w:pPr>
              <w:numPr>
                <w:ilvl w:val="12"/>
                <w:numId w:val="0"/>
              </w:numPr>
              <w:jc w:val="center"/>
            </w:pPr>
            <w:r>
              <w:t>Przechodzi przez sito</w:t>
            </w:r>
          </w:p>
          <w:p w:rsidR="00C6560F" w:rsidRDefault="00C6560F" w:rsidP="00DB470A">
            <w:pPr>
              <w:numPr>
                <w:ilvl w:val="12"/>
                <w:numId w:val="0"/>
              </w:numPr>
              <w:jc w:val="center"/>
            </w:pPr>
            <w:r>
              <w:t>(%)</w:t>
            </w:r>
          </w:p>
        </w:tc>
        <w:tc>
          <w:tcPr>
            <w:tcW w:w="2727" w:type="dxa"/>
            <w:tcBorders>
              <w:bottom w:val="double" w:sz="6" w:space="0" w:color="auto"/>
            </w:tcBorders>
          </w:tcPr>
          <w:p w:rsidR="00C6560F" w:rsidRDefault="00C6560F" w:rsidP="00DB470A">
            <w:pPr>
              <w:numPr>
                <w:ilvl w:val="12"/>
                <w:numId w:val="0"/>
              </w:numPr>
              <w:jc w:val="center"/>
            </w:pPr>
            <w:r>
              <w:t>Przechodzi przez sito</w:t>
            </w:r>
          </w:p>
          <w:p w:rsidR="00C6560F" w:rsidRDefault="00C6560F" w:rsidP="00DB470A">
            <w:pPr>
              <w:numPr>
                <w:ilvl w:val="12"/>
                <w:numId w:val="0"/>
              </w:numPr>
              <w:jc w:val="center"/>
            </w:pPr>
            <w:r>
              <w:t>(%)</w:t>
            </w:r>
          </w:p>
        </w:tc>
      </w:tr>
      <w:tr w:rsidR="00C6560F">
        <w:tc>
          <w:tcPr>
            <w:tcW w:w="2055" w:type="dxa"/>
            <w:tcBorders>
              <w:top w:val="nil"/>
            </w:tcBorders>
          </w:tcPr>
          <w:p w:rsidR="00C6560F" w:rsidRDefault="00C6560F" w:rsidP="00DB470A">
            <w:pPr>
              <w:numPr>
                <w:ilvl w:val="12"/>
                <w:numId w:val="0"/>
              </w:numPr>
              <w:spacing w:before="60"/>
              <w:jc w:val="center"/>
            </w:pPr>
            <w:r>
              <w:t>63</w:t>
            </w:r>
          </w:p>
          <w:p w:rsidR="00C6560F" w:rsidRDefault="00C6560F" w:rsidP="00DB470A">
            <w:pPr>
              <w:numPr>
                <w:ilvl w:val="12"/>
                <w:numId w:val="0"/>
              </w:numPr>
              <w:jc w:val="center"/>
            </w:pPr>
            <w:r>
              <w:t>31,5</w:t>
            </w:r>
          </w:p>
          <w:p w:rsidR="00C6560F" w:rsidRDefault="00C6560F" w:rsidP="00DB470A">
            <w:pPr>
              <w:numPr>
                <w:ilvl w:val="12"/>
                <w:numId w:val="0"/>
              </w:numPr>
              <w:jc w:val="center"/>
            </w:pPr>
            <w:r>
              <w:t>16</w:t>
            </w:r>
          </w:p>
          <w:p w:rsidR="00C6560F" w:rsidRDefault="00C6560F" w:rsidP="00DB470A">
            <w:pPr>
              <w:numPr>
                <w:ilvl w:val="12"/>
                <w:numId w:val="0"/>
              </w:numPr>
              <w:jc w:val="center"/>
            </w:pPr>
            <w:r>
              <w:t>8</w:t>
            </w:r>
          </w:p>
          <w:p w:rsidR="00C6560F" w:rsidRDefault="00C6560F" w:rsidP="00DB470A">
            <w:pPr>
              <w:numPr>
                <w:ilvl w:val="12"/>
                <w:numId w:val="0"/>
              </w:numPr>
              <w:jc w:val="center"/>
            </w:pPr>
            <w:r>
              <w:t>4</w:t>
            </w:r>
          </w:p>
          <w:p w:rsidR="00C6560F" w:rsidRDefault="00C6560F" w:rsidP="00DB470A">
            <w:pPr>
              <w:numPr>
                <w:ilvl w:val="12"/>
                <w:numId w:val="0"/>
              </w:numPr>
              <w:jc w:val="center"/>
            </w:pPr>
            <w:r>
              <w:t>2</w:t>
            </w:r>
          </w:p>
          <w:p w:rsidR="00C6560F" w:rsidRDefault="00C6560F" w:rsidP="00DB470A">
            <w:pPr>
              <w:numPr>
                <w:ilvl w:val="12"/>
                <w:numId w:val="0"/>
              </w:numPr>
              <w:jc w:val="center"/>
            </w:pPr>
            <w:r>
              <w:t>1</w:t>
            </w:r>
          </w:p>
          <w:p w:rsidR="00C6560F" w:rsidRDefault="00C6560F" w:rsidP="00DB470A">
            <w:pPr>
              <w:numPr>
                <w:ilvl w:val="12"/>
                <w:numId w:val="0"/>
              </w:numPr>
              <w:jc w:val="center"/>
            </w:pPr>
            <w:r>
              <w:t>0,5</w:t>
            </w:r>
          </w:p>
          <w:p w:rsidR="00C6560F" w:rsidRDefault="00C6560F" w:rsidP="00DB470A">
            <w:pPr>
              <w:numPr>
                <w:ilvl w:val="12"/>
                <w:numId w:val="0"/>
              </w:numPr>
              <w:jc w:val="center"/>
            </w:pPr>
            <w:r>
              <w:t>0,25</w:t>
            </w:r>
          </w:p>
          <w:p w:rsidR="00C6560F" w:rsidRDefault="00C6560F" w:rsidP="00DB470A">
            <w:pPr>
              <w:numPr>
                <w:ilvl w:val="12"/>
                <w:numId w:val="0"/>
              </w:numPr>
              <w:jc w:val="center"/>
            </w:pPr>
            <w:r>
              <w:t>0,125</w:t>
            </w:r>
          </w:p>
        </w:tc>
        <w:tc>
          <w:tcPr>
            <w:tcW w:w="2727" w:type="dxa"/>
            <w:tcBorders>
              <w:top w:val="nil"/>
            </w:tcBorders>
          </w:tcPr>
          <w:p w:rsidR="00C6560F" w:rsidRDefault="00C6560F" w:rsidP="00DB470A">
            <w:pPr>
              <w:numPr>
                <w:ilvl w:val="12"/>
                <w:numId w:val="0"/>
              </w:numPr>
              <w:spacing w:before="60"/>
              <w:jc w:val="center"/>
            </w:pPr>
            <w:r>
              <w:t>-</w:t>
            </w:r>
          </w:p>
          <w:p w:rsidR="00C6560F" w:rsidRDefault="00C6560F" w:rsidP="00DB470A">
            <w:pPr>
              <w:numPr>
                <w:ilvl w:val="12"/>
                <w:numId w:val="0"/>
              </w:numPr>
              <w:jc w:val="center"/>
            </w:pPr>
            <w:r>
              <w:t>100</w:t>
            </w:r>
          </w:p>
          <w:p w:rsidR="00C6560F" w:rsidRDefault="00C6560F" w:rsidP="00DB470A">
            <w:pPr>
              <w:numPr>
                <w:ilvl w:val="12"/>
                <w:numId w:val="0"/>
              </w:numPr>
              <w:jc w:val="center"/>
            </w:pPr>
            <w:r>
              <w:t>od 60 do 80</w:t>
            </w:r>
          </w:p>
          <w:p w:rsidR="00C6560F" w:rsidRDefault="00C6560F" w:rsidP="00DB470A">
            <w:pPr>
              <w:numPr>
                <w:ilvl w:val="12"/>
                <w:numId w:val="0"/>
              </w:numPr>
              <w:jc w:val="center"/>
            </w:pPr>
            <w:r>
              <w:t>od 40 do 65</w:t>
            </w:r>
          </w:p>
          <w:p w:rsidR="00C6560F" w:rsidRDefault="00C6560F" w:rsidP="00DB470A">
            <w:pPr>
              <w:numPr>
                <w:ilvl w:val="12"/>
                <w:numId w:val="0"/>
              </w:numPr>
              <w:jc w:val="center"/>
            </w:pPr>
            <w:r>
              <w:t>od 25 do 55</w:t>
            </w:r>
          </w:p>
          <w:p w:rsidR="00C6560F" w:rsidRDefault="00C6560F" w:rsidP="00DB470A">
            <w:pPr>
              <w:numPr>
                <w:ilvl w:val="12"/>
                <w:numId w:val="0"/>
              </w:numPr>
              <w:jc w:val="center"/>
            </w:pPr>
            <w:r>
              <w:t>od 20 do 45</w:t>
            </w:r>
          </w:p>
          <w:p w:rsidR="00C6560F" w:rsidRDefault="00C6560F" w:rsidP="00DB470A">
            <w:pPr>
              <w:numPr>
                <w:ilvl w:val="12"/>
                <w:numId w:val="0"/>
              </w:numPr>
              <w:jc w:val="center"/>
            </w:pPr>
            <w:r>
              <w:t>od 15 do 35</w:t>
            </w:r>
          </w:p>
          <w:p w:rsidR="00C6560F" w:rsidRDefault="00C6560F" w:rsidP="00DB470A">
            <w:pPr>
              <w:numPr>
                <w:ilvl w:val="12"/>
                <w:numId w:val="0"/>
              </w:numPr>
              <w:jc w:val="center"/>
            </w:pPr>
            <w:r>
              <w:t>od 7 do 20</w:t>
            </w:r>
          </w:p>
          <w:p w:rsidR="00C6560F" w:rsidRDefault="00C6560F" w:rsidP="00DB470A">
            <w:pPr>
              <w:numPr>
                <w:ilvl w:val="12"/>
                <w:numId w:val="0"/>
              </w:numPr>
              <w:jc w:val="center"/>
            </w:pPr>
            <w:r>
              <w:t>od 2 do 12</w:t>
            </w:r>
          </w:p>
          <w:p w:rsidR="00C6560F" w:rsidRDefault="00C6560F" w:rsidP="00DB470A">
            <w:pPr>
              <w:numPr>
                <w:ilvl w:val="12"/>
                <w:numId w:val="0"/>
              </w:numPr>
              <w:jc w:val="center"/>
            </w:pPr>
            <w:r>
              <w:t>od 0 do 5</w:t>
            </w:r>
          </w:p>
        </w:tc>
        <w:tc>
          <w:tcPr>
            <w:tcW w:w="2727" w:type="dxa"/>
            <w:tcBorders>
              <w:top w:val="nil"/>
            </w:tcBorders>
          </w:tcPr>
          <w:p w:rsidR="00C6560F" w:rsidRDefault="00C6560F" w:rsidP="00DB470A">
            <w:pPr>
              <w:numPr>
                <w:ilvl w:val="12"/>
                <w:numId w:val="0"/>
              </w:numPr>
              <w:spacing w:before="60"/>
              <w:jc w:val="center"/>
            </w:pPr>
            <w:r>
              <w:t>100</w:t>
            </w:r>
          </w:p>
          <w:p w:rsidR="00C6560F" w:rsidRDefault="00C6560F" w:rsidP="00DB470A">
            <w:pPr>
              <w:numPr>
                <w:ilvl w:val="12"/>
                <w:numId w:val="0"/>
              </w:numPr>
              <w:jc w:val="center"/>
            </w:pPr>
            <w:r>
              <w:t>od 60 do 85</w:t>
            </w:r>
          </w:p>
          <w:p w:rsidR="00C6560F" w:rsidRDefault="00C6560F" w:rsidP="00DB470A">
            <w:pPr>
              <w:numPr>
                <w:ilvl w:val="12"/>
                <w:numId w:val="0"/>
              </w:numPr>
              <w:jc w:val="center"/>
            </w:pPr>
            <w:r>
              <w:t>od 40 do 67</w:t>
            </w:r>
          </w:p>
          <w:p w:rsidR="00C6560F" w:rsidRDefault="00C6560F" w:rsidP="00DB470A">
            <w:pPr>
              <w:numPr>
                <w:ilvl w:val="12"/>
                <w:numId w:val="0"/>
              </w:numPr>
              <w:jc w:val="center"/>
            </w:pPr>
            <w:r>
              <w:t>od 30 do 55</w:t>
            </w:r>
          </w:p>
          <w:p w:rsidR="00C6560F" w:rsidRDefault="00C6560F" w:rsidP="00DB470A">
            <w:pPr>
              <w:numPr>
                <w:ilvl w:val="12"/>
                <w:numId w:val="0"/>
              </w:numPr>
              <w:jc w:val="center"/>
            </w:pPr>
            <w:r>
              <w:t>od 25 do 45</w:t>
            </w:r>
          </w:p>
          <w:p w:rsidR="00C6560F" w:rsidRDefault="00C6560F" w:rsidP="00DB470A">
            <w:pPr>
              <w:numPr>
                <w:ilvl w:val="12"/>
                <w:numId w:val="0"/>
              </w:numPr>
              <w:jc w:val="center"/>
            </w:pPr>
            <w:r>
              <w:t>od 20 do 40</w:t>
            </w:r>
          </w:p>
          <w:p w:rsidR="00C6560F" w:rsidRDefault="00C6560F" w:rsidP="00DB470A">
            <w:pPr>
              <w:numPr>
                <w:ilvl w:val="12"/>
                <w:numId w:val="0"/>
              </w:numPr>
              <w:jc w:val="center"/>
            </w:pPr>
            <w:r>
              <w:t>od 15 do 35</w:t>
            </w:r>
          </w:p>
          <w:p w:rsidR="00C6560F" w:rsidRDefault="00C6560F" w:rsidP="00DB470A">
            <w:pPr>
              <w:numPr>
                <w:ilvl w:val="12"/>
                <w:numId w:val="0"/>
              </w:numPr>
              <w:jc w:val="center"/>
            </w:pPr>
            <w:r>
              <w:t>od 8 do 20</w:t>
            </w:r>
          </w:p>
          <w:p w:rsidR="00C6560F" w:rsidRDefault="00C6560F" w:rsidP="00DB470A">
            <w:pPr>
              <w:numPr>
                <w:ilvl w:val="12"/>
                <w:numId w:val="0"/>
              </w:numPr>
              <w:jc w:val="center"/>
            </w:pPr>
            <w:r>
              <w:t>od 4 do 13</w:t>
            </w:r>
          </w:p>
          <w:p w:rsidR="00C6560F" w:rsidRDefault="00C6560F" w:rsidP="00DB470A">
            <w:pPr>
              <w:numPr>
                <w:ilvl w:val="12"/>
                <w:numId w:val="0"/>
              </w:numPr>
              <w:spacing w:after="60"/>
              <w:jc w:val="center"/>
            </w:pPr>
            <w:r>
              <w:t>od 0 do 5</w:t>
            </w:r>
          </w:p>
        </w:tc>
      </w:tr>
    </w:tbl>
    <w:p w:rsidR="00C6560F" w:rsidRDefault="00C6560F" w:rsidP="00DB470A">
      <w:pPr>
        <w:numPr>
          <w:ilvl w:val="12"/>
          <w:numId w:val="0"/>
        </w:numPr>
      </w:pPr>
    </w:p>
    <w:p w:rsidR="00C6560F" w:rsidRDefault="00C6560F" w:rsidP="00DB470A">
      <w:pPr>
        <w:numPr>
          <w:ilvl w:val="12"/>
          <w:numId w:val="0"/>
        </w:numPr>
      </w:pPr>
      <w:r>
        <w:tab/>
        <w:t>Zawartość cementu powinna wynosić od 5 do 7% w stosunku do kruszywa i nie powinna przekraczać 130 kg/m</w:t>
      </w:r>
      <w:r>
        <w:rPr>
          <w:vertAlign w:val="superscript"/>
        </w:rPr>
        <w:t>3</w:t>
      </w:r>
      <w:r>
        <w:t>.</w:t>
      </w:r>
    </w:p>
    <w:p w:rsidR="00C6560F" w:rsidRDefault="00C6560F" w:rsidP="00DB470A">
      <w:pPr>
        <w:numPr>
          <w:ilvl w:val="12"/>
          <w:numId w:val="0"/>
        </w:numPr>
      </w:pPr>
      <w:r>
        <w:tab/>
        <w:t xml:space="preserve">Zawartość wody powinna odpowiadać wilgotności optymalnej, określonej według normalnej próby </w:t>
      </w:r>
      <w:proofErr w:type="spellStart"/>
      <w:r>
        <w:t>Proctora</w:t>
      </w:r>
      <w:proofErr w:type="spellEnd"/>
      <w:r>
        <w:t>, zgodnie z PN-B-04481: 1988 [9] (duży cylinder, metoda II).</w:t>
      </w:r>
    </w:p>
    <w:p w:rsidR="00C6560F" w:rsidRDefault="005F0A06" w:rsidP="00DB470A">
      <w:pPr>
        <w:framePr w:hSpace="142" w:wrap="notBeside" w:vAnchor="text" w:hAnchor="page" w:x="2269" w:y="755"/>
        <w:numPr>
          <w:ilvl w:val="12"/>
          <w:numId w:val="0"/>
        </w:numPr>
      </w:pPr>
      <w:r>
        <w:rPr>
          <w:noProof/>
        </w:rPr>
        <w:lastRenderedPageBreak/>
        <w:drawing>
          <wp:inline distT="0" distB="0" distL="0" distR="0">
            <wp:extent cx="4695825" cy="27908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95825" cy="2790825"/>
                    </a:xfrm>
                    <a:prstGeom prst="rect">
                      <a:avLst/>
                    </a:prstGeom>
                    <a:noFill/>
                    <a:ln w="9525">
                      <a:noFill/>
                      <a:miter lim="800000"/>
                      <a:headEnd/>
                      <a:tailEnd/>
                    </a:ln>
                  </pic:spPr>
                </pic:pic>
              </a:graphicData>
            </a:graphic>
          </wp:inline>
        </w:drawing>
      </w:r>
    </w:p>
    <w:p w:rsidR="00C6560F" w:rsidRDefault="00C6560F" w:rsidP="00DB470A">
      <w:pPr>
        <w:numPr>
          <w:ilvl w:val="12"/>
          <w:numId w:val="0"/>
        </w:numPr>
      </w:pPr>
    </w:p>
    <w:p w:rsidR="00C6560F" w:rsidRDefault="00C6560F" w:rsidP="00DB470A">
      <w:pPr>
        <w:numPr>
          <w:ilvl w:val="12"/>
          <w:numId w:val="0"/>
        </w:numPr>
      </w:pPr>
    </w:p>
    <w:p w:rsidR="00C6560F" w:rsidRDefault="00C6560F" w:rsidP="00DB470A">
      <w:pPr>
        <w:numPr>
          <w:ilvl w:val="12"/>
          <w:numId w:val="0"/>
        </w:numPr>
        <w:spacing w:before="120"/>
      </w:pPr>
      <w:r>
        <w:t xml:space="preserve">Rysunek 1. Graniczne krzywe uziarnienia do chudego betonu od 0 do </w:t>
      </w:r>
      <w:smartTag w:uri="urn:schemas-microsoft-com:office:smarttags" w:element="metricconverter">
        <w:smartTagPr>
          <w:attr w:name="ProductID" w:val="31,5 mm"/>
        </w:smartTagPr>
        <w:r>
          <w:t xml:space="preserve">31,5 </w:t>
        </w:r>
        <w:proofErr w:type="spellStart"/>
        <w:r>
          <w:t>mm</w:t>
        </w:r>
      </w:smartTag>
      <w:proofErr w:type="spellEnd"/>
      <w:r>
        <w:t>.</w:t>
      </w:r>
    </w:p>
    <w:p w:rsidR="00C6560F" w:rsidRDefault="00C6560F" w:rsidP="00DB470A">
      <w:pPr>
        <w:numPr>
          <w:ilvl w:val="12"/>
          <w:numId w:val="0"/>
        </w:numPr>
      </w:pPr>
    </w:p>
    <w:p w:rsidR="00C6560F" w:rsidRDefault="005F0A06" w:rsidP="00DB470A">
      <w:pPr>
        <w:framePr w:hSpace="142" w:wrap="notBeside" w:vAnchor="text" w:hAnchor="page" w:x="2303" w:y="92"/>
        <w:numPr>
          <w:ilvl w:val="12"/>
          <w:numId w:val="0"/>
        </w:numPr>
      </w:pPr>
      <w:r>
        <w:rPr>
          <w:noProof/>
        </w:rPr>
        <w:drawing>
          <wp:inline distT="0" distB="0" distL="0" distR="0">
            <wp:extent cx="4648200" cy="25717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8200" cy="2571750"/>
                    </a:xfrm>
                    <a:prstGeom prst="rect">
                      <a:avLst/>
                    </a:prstGeom>
                    <a:noFill/>
                    <a:ln w="9525">
                      <a:noFill/>
                      <a:miter lim="800000"/>
                      <a:headEnd/>
                      <a:tailEnd/>
                    </a:ln>
                  </pic:spPr>
                </pic:pic>
              </a:graphicData>
            </a:graphic>
          </wp:inline>
        </w:drawing>
      </w:r>
    </w:p>
    <w:p w:rsidR="00C6560F" w:rsidRDefault="00C6560F" w:rsidP="00DB470A">
      <w:pPr>
        <w:numPr>
          <w:ilvl w:val="12"/>
          <w:numId w:val="0"/>
        </w:numPr>
        <w:spacing w:before="120"/>
      </w:pPr>
      <w:r>
        <w:t xml:space="preserve">Rysunek 2. Graniczne krzywe uziarnienia kruszywa do chudego betonu od 0 do </w:t>
      </w:r>
      <w:smartTag w:uri="urn:schemas-microsoft-com:office:smarttags" w:element="metricconverter">
        <w:smartTagPr>
          <w:attr w:name="ProductID" w:val="63 mm"/>
        </w:smartTagPr>
        <w:r>
          <w:t xml:space="preserve">63 </w:t>
        </w:r>
        <w:proofErr w:type="spellStart"/>
        <w:r>
          <w:t>mm</w:t>
        </w:r>
      </w:smartTag>
      <w:proofErr w:type="spellEnd"/>
      <w:r>
        <w:t>.</w:t>
      </w:r>
    </w:p>
    <w:p w:rsidR="00C6560F" w:rsidRDefault="00C6560F" w:rsidP="00DB470A">
      <w:pPr>
        <w:numPr>
          <w:ilvl w:val="12"/>
          <w:numId w:val="0"/>
        </w:numPr>
        <w:spacing w:before="120"/>
      </w:pPr>
    </w:p>
    <w:p w:rsidR="00C6560F" w:rsidRDefault="00C6560F" w:rsidP="00DB470A">
      <w:pPr>
        <w:pStyle w:val="Nagwek2"/>
        <w:numPr>
          <w:ilvl w:val="12"/>
          <w:numId w:val="0"/>
        </w:numPr>
      </w:pPr>
      <w:r>
        <w:t>5.3. Właściwości chudego betonu.</w:t>
      </w:r>
    </w:p>
    <w:p w:rsidR="00C6560F" w:rsidRDefault="00C6560F" w:rsidP="00DB470A">
      <w:pPr>
        <w:numPr>
          <w:ilvl w:val="12"/>
          <w:numId w:val="0"/>
        </w:numPr>
      </w:pPr>
      <w:r>
        <w:tab/>
        <w:t>Chudy beton powinien spełniać wymagania określone w tablicy 4.</w:t>
      </w:r>
    </w:p>
    <w:p w:rsidR="00C6560F" w:rsidRDefault="00C6560F" w:rsidP="00DB470A">
      <w:pPr>
        <w:numPr>
          <w:ilvl w:val="12"/>
          <w:numId w:val="0"/>
        </w:numPr>
        <w:spacing w:before="120" w:after="120"/>
      </w:pPr>
      <w:r>
        <w:t>Tablica 4. Wymagania dla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969"/>
        <w:gridCol w:w="1426"/>
        <w:gridCol w:w="1616"/>
      </w:tblGrid>
      <w:tr w:rsidR="00C6560F">
        <w:tc>
          <w:tcPr>
            <w:tcW w:w="496" w:type="dxa"/>
            <w:tcBorders>
              <w:bottom w:val="double" w:sz="6" w:space="0" w:color="auto"/>
            </w:tcBorders>
          </w:tcPr>
          <w:p w:rsidR="00C6560F" w:rsidRDefault="00C6560F" w:rsidP="00DB470A">
            <w:pPr>
              <w:numPr>
                <w:ilvl w:val="12"/>
                <w:numId w:val="0"/>
              </w:numPr>
              <w:spacing w:before="60" w:after="60"/>
              <w:jc w:val="center"/>
            </w:pPr>
            <w:r>
              <w:t>Lp.</w:t>
            </w:r>
          </w:p>
        </w:tc>
        <w:tc>
          <w:tcPr>
            <w:tcW w:w="3969" w:type="dxa"/>
            <w:tcBorders>
              <w:bottom w:val="double" w:sz="6" w:space="0" w:color="auto"/>
            </w:tcBorders>
          </w:tcPr>
          <w:p w:rsidR="00C6560F" w:rsidRDefault="00C6560F" w:rsidP="00DB470A">
            <w:pPr>
              <w:numPr>
                <w:ilvl w:val="12"/>
                <w:numId w:val="0"/>
              </w:numPr>
              <w:spacing w:before="60" w:after="60"/>
              <w:jc w:val="center"/>
            </w:pPr>
            <w:r>
              <w:t>Właściwości</w:t>
            </w:r>
          </w:p>
        </w:tc>
        <w:tc>
          <w:tcPr>
            <w:tcW w:w="1426" w:type="dxa"/>
            <w:tcBorders>
              <w:bottom w:val="double" w:sz="6" w:space="0" w:color="auto"/>
            </w:tcBorders>
          </w:tcPr>
          <w:p w:rsidR="00C6560F" w:rsidRDefault="00C6560F" w:rsidP="00DB470A">
            <w:pPr>
              <w:numPr>
                <w:ilvl w:val="12"/>
                <w:numId w:val="0"/>
              </w:numPr>
              <w:spacing w:before="60" w:after="60"/>
              <w:jc w:val="center"/>
            </w:pPr>
            <w:r>
              <w:t>Wymagania</w:t>
            </w:r>
          </w:p>
        </w:tc>
        <w:tc>
          <w:tcPr>
            <w:tcW w:w="1616" w:type="dxa"/>
            <w:tcBorders>
              <w:bottom w:val="double" w:sz="6" w:space="0" w:color="auto"/>
            </w:tcBorders>
          </w:tcPr>
          <w:p w:rsidR="00C6560F" w:rsidRDefault="00C6560F" w:rsidP="00DB470A">
            <w:pPr>
              <w:numPr>
                <w:ilvl w:val="12"/>
                <w:numId w:val="0"/>
              </w:numPr>
              <w:spacing w:before="60" w:after="60"/>
              <w:jc w:val="center"/>
            </w:pPr>
            <w:r>
              <w:t>Badania według</w:t>
            </w:r>
          </w:p>
        </w:tc>
      </w:tr>
      <w:tr w:rsidR="00C6560F">
        <w:tc>
          <w:tcPr>
            <w:tcW w:w="496" w:type="dxa"/>
            <w:tcBorders>
              <w:top w:val="nil"/>
            </w:tcBorders>
          </w:tcPr>
          <w:p w:rsidR="00C6560F" w:rsidRDefault="00C6560F" w:rsidP="00DB470A">
            <w:pPr>
              <w:numPr>
                <w:ilvl w:val="12"/>
                <w:numId w:val="0"/>
              </w:numPr>
              <w:spacing w:before="60" w:after="60"/>
              <w:jc w:val="center"/>
            </w:pPr>
            <w:r>
              <w:t>1</w:t>
            </w:r>
          </w:p>
        </w:tc>
        <w:tc>
          <w:tcPr>
            <w:tcW w:w="3969" w:type="dxa"/>
            <w:tcBorders>
              <w:top w:val="nil"/>
            </w:tcBorders>
          </w:tcPr>
          <w:p w:rsidR="00C6560F" w:rsidRDefault="00C6560F" w:rsidP="00DB470A">
            <w:pPr>
              <w:numPr>
                <w:ilvl w:val="12"/>
                <w:numId w:val="0"/>
              </w:numPr>
              <w:spacing w:before="60" w:after="60"/>
            </w:pPr>
            <w:r>
              <w:t xml:space="preserve">Wytrzymałość na ściskanie po 7 dniach, </w:t>
            </w:r>
            <w:proofErr w:type="spellStart"/>
            <w:r>
              <w:t>MPa</w:t>
            </w:r>
            <w:proofErr w:type="spellEnd"/>
          </w:p>
        </w:tc>
        <w:tc>
          <w:tcPr>
            <w:tcW w:w="1426" w:type="dxa"/>
            <w:tcBorders>
              <w:top w:val="nil"/>
            </w:tcBorders>
          </w:tcPr>
          <w:p w:rsidR="00C6560F" w:rsidRDefault="00C6560F" w:rsidP="00DB470A">
            <w:pPr>
              <w:numPr>
                <w:ilvl w:val="12"/>
                <w:numId w:val="0"/>
              </w:numPr>
              <w:spacing w:before="60" w:after="60"/>
              <w:jc w:val="center"/>
            </w:pPr>
            <w:r>
              <w:t>od 3,5 do 5,5</w:t>
            </w:r>
          </w:p>
        </w:tc>
        <w:tc>
          <w:tcPr>
            <w:tcW w:w="1616" w:type="dxa"/>
            <w:tcBorders>
              <w:top w:val="nil"/>
            </w:tcBorders>
          </w:tcPr>
          <w:p w:rsidR="00C6560F" w:rsidRDefault="00C6560F" w:rsidP="00DB470A">
            <w:pPr>
              <w:numPr>
                <w:ilvl w:val="12"/>
                <w:numId w:val="0"/>
              </w:numPr>
              <w:spacing w:before="120"/>
              <w:jc w:val="center"/>
            </w:pPr>
            <w:r>
              <w:t>PN-B-06250 [10]</w:t>
            </w:r>
          </w:p>
        </w:tc>
      </w:tr>
      <w:tr w:rsidR="00C6560F">
        <w:tc>
          <w:tcPr>
            <w:tcW w:w="496" w:type="dxa"/>
          </w:tcPr>
          <w:p w:rsidR="00C6560F" w:rsidRDefault="00C6560F" w:rsidP="00DB470A">
            <w:pPr>
              <w:numPr>
                <w:ilvl w:val="12"/>
                <w:numId w:val="0"/>
              </w:numPr>
              <w:spacing w:before="60" w:after="60"/>
              <w:jc w:val="center"/>
            </w:pPr>
            <w:r>
              <w:t>2</w:t>
            </w:r>
          </w:p>
        </w:tc>
        <w:tc>
          <w:tcPr>
            <w:tcW w:w="3969" w:type="dxa"/>
          </w:tcPr>
          <w:p w:rsidR="00C6560F" w:rsidRDefault="00C6560F" w:rsidP="00DB470A">
            <w:pPr>
              <w:numPr>
                <w:ilvl w:val="12"/>
                <w:numId w:val="0"/>
              </w:numPr>
              <w:spacing w:before="60" w:after="60"/>
            </w:pPr>
            <w:r>
              <w:t xml:space="preserve">Wytrzymałość na ściskanie po 28 dniach, </w:t>
            </w:r>
            <w:proofErr w:type="spellStart"/>
            <w:r>
              <w:t>MPa</w:t>
            </w:r>
            <w:proofErr w:type="spellEnd"/>
          </w:p>
        </w:tc>
        <w:tc>
          <w:tcPr>
            <w:tcW w:w="1426" w:type="dxa"/>
          </w:tcPr>
          <w:p w:rsidR="00C6560F" w:rsidRDefault="00C6560F" w:rsidP="00DB470A">
            <w:pPr>
              <w:numPr>
                <w:ilvl w:val="12"/>
                <w:numId w:val="0"/>
              </w:numPr>
              <w:spacing w:before="120" w:after="60"/>
              <w:jc w:val="center"/>
            </w:pPr>
            <w:r>
              <w:t>od 6,0 do 9,0</w:t>
            </w:r>
          </w:p>
        </w:tc>
        <w:tc>
          <w:tcPr>
            <w:tcW w:w="1616" w:type="dxa"/>
          </w:tcPr>
          <w:p w:rsidR="00C6560F" w:rsidRDefault="00C6560F" w:rsidP="00DB470A">
            <w:pPr>
              <w:numPr>
                <w:ilvl w:val="12"/>
                <w:numId w:val="0"/>
              </w:numPr>
              <w:spacing w:before="120"/>
              <w:jc w:val="center"/>
            </w:pPr>
            <w:r>
              <w:t>PN-B-06250 [10]</w:t>
            </w:r>
          </w:p>
        </w:tc>
      </w:tr>
      <w:tr w:rsidR="00C6560F">
        <w:tc>
          <w:tcPr>
            <w:tcW w:w="496" w:type="dxa"/>
          </w:tcPr>
          <w:p w:rsidR="00C6560F" w:rsidRDefault="00C6560F" w:rsidP="00DB470A">
            <w:pPr>
              <w:numPr>
                <w:ilvl w:val="12"/>
                <w:numId w:val="0"/>
              </w:numPr>
              <w:spacing w:before="60" w:after="60"/>
              <w:jc w:val="center"/>
            </w:pPr>
            <w:r>
              <w:t>3</w:t>
            </w:r>
          </w:p>
        </w:tc>
        <w:tc>
          <w:tcPr>
            <w:tcW w:w="3969" w:type="dxa"/>
          </w:tcPr>
          <w:p w:rsidR="00C6560F" w:rsidRDefault="00C6560F" w:rsidP="00DB470A">
            <w:pPr>
              <w:numPr>
                <w:ilvl w:val="12"/>
                <w:numId w:val="0"/>
              </w:numPr>
              <w:spacing w:before="60" w:after="60"/>
            </w:pPr>
            <w:r>
              <w:t>Nasiąkliwość, % m/m, nie więcej niż:</w:t>
            </w:r>
          </w:p>
        </w:tc>
        <w:tc>
          <w:tcPr>
            <w:tcW w:w="1426" w:type="dxa"/>
          </w:tcPr>
          <w:p w:rsidR="00C6560F" w:rsidRDefault="00C6560F" w:rsidP="00DB470A">
            <w:pPr>
              <w:numPr>
                <w:ilvl w:val="12"/>
                <w:numId w:val="0"/>
              </w:numPr>
              <w:spacing w:before="60" w:after="60"/>
              <w:jc w:val="center"/>
            </w:pPr>
            <w:r>
              <w:t>9</w:t>
            </w:r>
          </w:p>
        </w:tc>
        <w:tc>
          <w:tcPr>
            <w:tcW w:w="1616" w:type="dxa"/>
          </w:tcPr>
          <w:p w:rsidR="00C6560F" w:rsidRDefault="00C6560F" w:rsidP="00DB470A">
            <w:pPr>
              <w:numPr>
                <w:ilvl w:val="12"/>
                <w:numId w:val="0"/>
              </w:numPr>
              <w:spacing w:before="60" w:after="60"/>
              <w:jc w:val="center"/>
            </w:pPr>
            <w:r>
              <w:t>PN-B-06250 [10]</w:t>
            </w:r>
          </w:p>
        </w:tc>
      </w:tr>
      <w:tr w:rsidR="00C6560F">
        <w:tc>
          <w:tcPr>
            <w:tcW w:w="496" w:type="dxa"/>
          </w:tcPr>
          <w:p w:rsidR="00C6560F" w:rsidRDefault="00C6560F" w:rsidP="00DB470A">
            <w:pPr>
              <w:numPr>
                <w:ilvl w:val="12"/>
                <w:numId w:val="0"/>
              </w:numPr>
              <w:spacing w:before="120"/>
              <w:jc w:val="center"/>
            </w:pPr>
            <w:r>
              <w:t>4</w:t>
            </w:r>
          </w:p>
        </w:tc>
        <w:tc>
          <w:tcPr>
            <w:tcW w:w="3969" w:type="dxa"/>
          </w:tcPr>
          <w:p w:rsidR="00C6560F" w:rsidRDefault="00C6560F" w:rsidP="00DB470A">
            <w:pPr>
              <w:numPr>
                <w:ilvl w:val="12"/>
                <w:numId w:val="0"/>
              </w:numPr>
              <w:jc w:val="left"/>
            </w:pPr>
            <w:r>
              <w:t>Mrozoodporność, zmniejszenie wytrzymałości, %, nie więcej niż:</w:t>
            </w:r>
          </w:p>
        </w:tc>
        <w:tc>
          <w:tcPr>
            <w:tcW w:w="1426" w:type="dxa"/>
          </w:tcPr>
          <w:p w:rsidR="00C6560F" w:rsidRDefault="00C6560F" w:rsidP="00DB470A">
            <w:pPr>
              <w:numPr>
                <w:ilvl w:val="12"/>
                <w:numId w:val="0"/>
              </w:numPr>
              <w:spacing w:before="120"/>
              <w:jc w:val="center"/>
            </w:pPr>
            <w:r>
              <w:t>20</w:t>
            </w:r>
          </w:p>
        </w:tc>
        <w:tc>
          <w:tcPr>
            <w:tcW w:w="1616" w:type="dxa"/>
          </w:tcPr>
          <w:p w:rsidR="00C6560F" w:rsidRDefault="00C6560F" w:rsidP="00DB470A">
            <w:pPr>
              <w:numPr>
                <w:ilvl w:val="12"/>
                <w:numId w:val="0"/>
              </w:numPr>
              <w:spacing w:before="120"/>
              <w:jc w:val="center"/>
            </w:pPr>
            <w:r>
              <w:t>PN-B-06250 [10]</w:t>
            </w:r>
          </w:p>
        </w:tc>
      </w:tr>
    </w:tbl>
    <w:p w:rsidR="00C6560F" w:rsidRDefault="00C6560F" w:rsidP="00DB470A">
      <w:pPr>
        <w:numPr>
          <w:ilvl w:val="12"/>
          <w:numId w:val="0"/>
        </w:numPr>
      </w:pPr>
    </w:p>
    <w:p w:rsidR="00C6560F" w:rsidRDefault="00C6560F" w:rsidP="00DB470A">
      <w:pPr>
        <w:pStyle w:val="Nagwek2"/>
        <w:numPr>
          <w:ilvl w:val="12"/>
          <w:numId w:val="0"/>
        </w:numPr>
      </w:pPr>
      <w:r>
        <w:t>5.4. Warunki przystąpienia do robót</w:t>
      </w:r>
    </w:p>
    <w:p w:rsidR="00C6560F" w:rsidRDefault="00C6560F" w:rsidP="00DB470A">
      <w:pPr>
        <w:numPr>
          <w:ilvl w:val="12"/>
          <w:numId w:val="0"/>
        </w:numPr>
      </w:pPr>
      <w:r>
        <w:tab/>
        <w:t>Podbudowa z chudego betonu nie powinna być wykonywana gdy temperatura powietrza jest niższa niż 5</w:t>
      </w:r>
      <w:r>
        <w:rPr>
          <w:vertAlign w:val="superscript"/>
        </w:rPr>
        <w:t>o</w:t>
      </w:r>
      <w:r>
        <w:t xml:space="preserve">C i wyższa niż </w:t>
      </w:r>
      <w:smartTag w:uri="urn:schemas-microsoft-com:office:smarttags" w:element="metricconverter">
        <w:smartTagPr>
          <w:attr w:name="ProductID" w:val="250 C"/>
        </w:smartTagPr>
        <w:r>
          <w:t>25</w:t>
        </w:r>
        <w:r>
          <w:rPr>
            <w:vertAlign w:val="superscript"/>
          </w:rPr>
          <w:t>0</w:t>
        </w:r>
        <w:r>
          <w:t xml:space="preserve"> C</w:t>
        </w:r>
      </w:smartTag>
      <w:r>
        <w:t xml:space="preserve"> oraz gdy podłoże jest zamarznięte. </w:t>
      </w:r>
    </w:p>
    <w:p w:rsidR="00C6560F" w:rsidRDefault="00C6560F" w:rsidP="00DB470A">
      <w:pPr>
        <w:pStyle w:val="Nagwek2"/>
        <w:numPr>
          <w:ilvl w:val="12"/>
          <w:numId w:val="0"/>
        </w:numPr>
      </w:pPr>
      <w:r>
        <w:t>5.5. Przygotowanie podłoża</w:t>
      </w:r>
    </w:p>
    <w:p w:rsidR="00C6560F" w:rsidRDefault="00C6560F" w:rsidP="00DB470A">
      <w:pPr>
        <w:numPr>
          <w:ilvl w:val="12"/>
          <w:numId w:val="0"/>
        </w:numPr>
      </w:pPr>
      <w:r>
        <w:tab/>
        <w:t>Podłoże pod podbudowę z chudego betonu powinno być przygotowane zgodnie z wymaganiami określonymi w dokumentacji projektowej i SST.</w:t>
      </w:r>
    </w:p>
    <w:p w:rsidR="00C6560F" w:rsidRDefault="00C6560F" w:rsidP="00DB470A">
      <w:pPr>
        <w:pStyle w:val="Nagwek2"/>
        <w:numPr>
          <w:ilvl w:val="12"/>
          <w:numId w:val="0"/>
        </w:numPr>
      </w:pPr>
      <w:r>
        <w:t>5.6. Wytwarzanie mieszanki betonowej</w:t>
      </w:r>
    </w:p>
    <w:p w:rsidR="00C6560F" w:rsidRDefault="00C6560F" w:rsidP="00DB470A">
      <w:pPr>
        <w:numPr>
          <w:ilvl w:val="12"/>
          <w:numId w:val="0"/>
        </w:numPr>
      </w:pPr>
      <w:r>
        <w:tab/>
        <w:t>Mieszankę chudego betonu o ściśle określonym składzie zawartym w recepcie laboratoryjnej należy wytwarzać w mieszarkach zapewniających ciągłość produkcji i gwarantujących otrzymanie jednorodnej mieszanki.</w:t>
      </w:r>
    </w:p>
    <w:p w:rsidR="00C6560F" w:rsidRDefault="00C6560F" w:rsidP="00DB470A">
      <w:pPr>
        <w:numPr>
          <w:ilvl w:val="12"/>
          <w:numId w:val="0"/>
        </w:numPr>
      </w:pPr>
      <w:r>
        <w:tab/>
        <w:t>Składniki mieszanki chudego betonu powinny być dozowane wagowo zgodnie z normą PN-S-96013:1997 [20 ].</w:t>
      </w:r>
    </w:p>
    <w:p w:rsidR="00C6560F" w:rsidRDefault="00C6560F" w:rsidP="00DB470A">
      <w:pPr>
        <w:numPr>
          <w:ilvl w:val="12"/>
          <w:numId w:val="0"/>
        </w:numPr>
      </w:pPr>
      <w:r>
        <w:tab/>
        <w:t>Mieszanka po wyprodukowaniu powinna być od razu transportowana na  miejsce wbudowania, w sposób zabezpieczony przed segregacją i nadmiernym wysychaniem.</w:t>
      </w:r>
    </w:p>
    <w:p w:rsidR="00C6560F" w:rsidRDefault="00C6560F" w:rsidP="00DB470A">
      <w:pPr>
        <w:pStyle w:val="Nagwek2"/>
        <w:numPr>
          <w:ilvl w:val="12"/>
          <w:numId w:val="0"/>
        </w:numPr>
      </w:pPr>
      <w:r>
        <w:t>5.7. Wbudowywanie i zagęszczanie mieszanki betonowej</w:t>
      </w:r>
    </w:p>
    <w:p w:rsidR="00C6560F" w:rsidRDefault="00C6560F" w:rsidP="00DB470A">
      <w:pPr>
        <w:numPr>
          <w:ilvl w:val="12"/>
          <w:numId w:val="0"/>
        </w:numPr>
      </w:pPr>
      <w:r>
        <w:tab/>
        <w:t>Układanie podbudowy z chudego betonu należy wykonywać układarkami mechanicznymi, poruszającymi się po prowadnicach.</w:t>
      </w:r>
    </w:p>
    <w:p w:rsidR="00C6560F" w:rsidRDefault="00C6560F" w:rsidP="00DB470A">
      <w:pPr>
        <w:numPr>
          <w:ilvl w:val="12"/>
          <w:numId w:val="0"/>
        </w:numPr>
      </w:pPr>
      <w:r>
        <w:tab/>
        <w:t>Przy układaniu chudej mieszanki betonowej za pomocą równiarek konieczne jest stosowanie prowadnic. Wbudowanie za pomocą równiarek bez stosowania prowadnic, może odbywać się tylko w wyjątkowych wypadkach, określonych w SST i za zgodą Inżyniera.</w:t>
      </w:r>
    </w:p>
    <w:p w:rsidR="00C6560F" w:rsidRDefault="00C6560F" w:rsidP="00DB470A">
      <w:pPr>
        <w:numPr>
          <w:ilvl w:val="12"/>
          <w:numId w:val="0"/>
        </w:numPr>
      </w:pPr>
      <w:r>
        <w:tab/>
        <w:t xml:space="preserve">Podbudowy z chudego betonu wykonuje się w jednej warstwie o grubości od 10 do </w:t>
      </w:r>
      <w:smartTag w:uri="urn:schemas-microsoft-com:office:smarttags" w:element="metricconverter">
        <w:smartTagPr>
          <w:attr w:name="ProductID" w:val="20 cm"/>
        </w:smartTagPr>
        <w:r>
          <w:t>20 cm</w:t>
        </w:r>
      </w:smartTag>
      <w:r>
        <w:t>, po zagęszczeniu. Gdy wymagana jest większa grubość, to do układania drugiej warstwy można przystąpić po odbiorze jej przez Inżyniera.</w:t>
      </w:r>
    </w:p>
    <w:p w:rsidR="00C6560F" w:rsidRDefault="00C6560F" w:rsidP="00DB470A">
      <w:pPr>
        <w:numPr>
          <w:ilvl w:val="12"/>
          <w:numId w:val="0"/>
        </w:numPr>
      </w:pPr>
      <w:r>
        <w:tab/>
        <w:t>Natychmiast po rozłożeniu i wyprofilowaniu mieszanki należy rozpocząć jej zagęszczanie. Powierzchnia zagęszczonej warstwy powinna mieć prawidłowy przekrój poprzeczny i jednolity wygląd.</w:t>
      </w:r>
    </w:p>
    <w:p w:rsidR="00C6560F" w:rsidRDefault="00C6560F" w:rsidP="00DB470A">
      <w:pPr>
        <w:numPr>
          <w:ilvl w:val="12"/>
          <w:numId w:val="0"/>
        </w:numPr>
      </w:pPr>
      <w:r>
        <w:tab/>
        <w:t xml:space="preserve">Zagęszczanie należy kontynuować do osiągnięcia wskaźnika zagęszczenia nie mniejszego niż 0,98 maksymalnego zagęszczenia określonego według normalnej próby </w:t>
      </w:r>
      <w:proofErr w:type="spellStart"/>
      <w:r>
        <w:t>Proctora</w:t>
      </w:r>
      <w:proofErr w:type="spellEnd"/>
      <w:r>
        <w:t xml:space="preserve"> zgodnie z PN-B-04481: 1988 [9], (duży cylinder metoda II). Zagęszczenie powinno być zakończone przed rozpoczęciem czasu wiązania cementu.</w:t>
      </w:r>
    </w:p>
    <w:p w:rsidR="00C6560F" w:rsidRDefault="00C6560F" w:rsidP="00DB470A">
      <w:pPr>
        <w:numPr>
          <w:ilvl w:val="12"/>
          <w:numId w:val="0"/>
        </w:numPr>
      </w:pPr>
      <w:r>
        <w:tab/>
        <w:t>Wilgotność mieszanki chudego betonu podczas zagęszczania powinna być równa wilgotności optymalnej z tolerancją + 10% i - 20% jej wartości.</w:t>
      </w:r>
    </w:p>
    <w:p w:rsidR="00C6560F" w:rsidRDefault="00C6560F" w:rsidP="00DB470A">
      <w:pPr>
        <w:pStyle w:val="Nagwek2"/>
        <w:numPr>
          <w:ilvl w:val="12"/>
          <w:numId w:val="0"/>
        </w:numPr>
      </w:pPr>
      <w:r>
        <w:t>5.8. Spoiny robocze</w:t>
      </w:r>
    </w:p>
    <w:p w:rsidR="00C6560F" w:rsidRDefault="00C6560F" w:rsidP="00DB470A">
      <w:pPr>
        <w:numPr>
          <w:ilvl w:val="12"/>
          <w:numId w:val="0"/>
        </w:numPr>
      </w:pPr>
      <w:r>
        <w:tab/>
        <w:t>Wykonawca powinien tak organizować roboty, aby unikać podłużnych spoin roboczych, poprzez wykonanie podbudowy na całej szerokości koryta.</w:t>
      </w:r>
    </w:p>
    <w:p w:rsidR="00C6560F" w:rsidRDefault="00C6560F" w:rsidP="00DB470A">
      <w:pPr>
        <w:numPr>
          <w:ilvl w:val="12"/>
          <w:numId w:val="0"/>
        </w:numPr>
      </w:pPr>
      <w:r>
        <w:tab/>
        <w:t xml:space="preserve">Jeżeli w dolnej warstwie podbudowy występują spoiny robocze, to spoiny w górnej warstwie podbudowy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C6560F" w:rsidRDefault="00C6560F" w:rsidP="00DB470A">
      <w:pPr>
        <w:pStyle w:val="Nagwek2"/>
        <w:numPr>
          <w:ilvl w:val="12"/>
          <w:numId w:val="0"/>
        </w:numPr>
      </w:pPr>
      <w:r>
        <w:t>5.9. Nacinanie szczelin</w:t>
      </w:r>
    </w:p>
    <w:p w:rsidR="00C6560F" w:rsidRDefault="00C6560F" w:rsidP="00DB470A">
      <w:pPr>
        <w:numPr>
          <w:ilvl w:val="12"/>
          <w:numId w:val="0"/>
        </w:numPr>
      </w:pPr>
      <w:r>
        <w:tab/>
        <w:t>W początkowej fazie twardnienia betonu zaleca się wycięcie szczelin pozornych na głębokość około 1/3 jej grubości.</w:t>
      </w:r>
    </w:p>
    <w:p w:rsidR="00C6560F" w:rsidRDefault="00C6560F" w:rsidP="00DB470A">
      <w:pPr>
        <w:numPr>
          <w:ilvl w:val="12"/>
          <w:numId w:val="0"/>
        </w:numPr>
      </w:pPr>
      <w:r>
        <w:tab/>
        <w:t xml:space="preserve">Szerokość naciętych szczelin pozornych powinna wynosić od 3 do </w:t>
      </w:r>
      <w:smartTag w:uri="urn:schemas-microsoft-com:office:smarttags" w:element="metricconverter">
        <w:smartTagPr>
          <w:attr w:name="ProductID" w:val="5 mm"/>
        </w:smartTagPr>
        <w:r>
          <w:t xml:space="preserve">5 </w:t>
        </w:r>
        <w:proofErr w:type="spellStart"/>
        <w:r>
          <w:t>mm</w:t>
        </w:r>
      </w:smartTag>
      <w:proofErr w:type="spellEnd"/>
      <w:r>
        <w:t>. Szczeliny te należy wyciąć tak, aby cała powierzchnia podbudowy była podzielona na kwadratowe lub prostokątne płyty. Stosunek długości płyt do ich szerokości powinien być nie większy niż od 1,5 do 1,0.</w:t>
      </w:r>
    </w:p>
    <w:p w:rsidR="00C6560F" w:rsidRDefault="00C6560F" w:rsidP="00DB470A">
      <w:pPr>
        <w:numPr>
          <w:ilvl w:val="12"/>
          <w:numId w:val="0"/>
        </w:numPr>
      </w:pPr>
      <w:r>
        <w:tab/>
        <w:t>W przypadku przekroczenia górnej granicy siedmiodniowej wytrzymałości i spodziewanego przekroczenia dwudziestoośmiodniowej wytrzymałości na ściskanie chudego betonu, wycięcie szczelin pozornych jest konieczne.</w:t>
      </w:r>
    </w:p>
    <w:p w:rsidR="00C6560F" w:rsidRDefault="00C6560F" w:rsidP="00DB470A">
      <w:pPr>
        <w:numPr>
          <w:ilvl w:val="12"/>
          <w:numId w:val="0"/>
        </w:numPr>
        <w:ind w:left="709"/>
      </w:pPr>
      <w:r>
        <w:t xml:space="preserve">Alternatywnie można ułożyć na podbudowie warstwę </w:t>
      </w:r>
      <w:proofErr w:type="spellStart"/>
      <w:r>
        <w:t>antyspękaniową</w:t>
      </w:r>
      <w:proofErr w:type="spellEnd"/>
      <w:r>
        <w:t xml:space="preserve"> w postaci:</w:t>
      </w:r>
    </w:p>
    <w:p w:rsidR="00C6560F" w:rsidRDefault="00C6560F" w:rsidP="00DB470A">
      <w:pPr>
        <w:numPr>
          <w:ilvl w:val="0"/>
          <w:numId w:val="3"/>
        </w:numPr>
        <w:tabs>
          <w:tab w:val="left" w:pos="360"/>
        </w:tabs>
      </w:pPr>
      <w:r>
        <w:t xml:space="preserve">membrany z </w:t>
      </w:r>
      <w:proofErr w:type="spellStart"/>
      <w:r>
        <w:t>polimeroasfaltu</w:t>
      </w:r>
      <w:proofErr w:type="spellEnd"/>
      <w:r>
        <w:t>,</w:t>
      </w:r>
    </w:p>
    <w:p w:rsidR="00C6560F" w:rsidRDefault="00C6560F" w:rsidP="00DB470A">
      <w:pPr>
        <w:numPr>
          <w:ilvl w:val="0"/>
          <w:numId w:val="3"/>
        </w:numPr>
        <w:tabs>
          <w:tab w:val="left" w:pos="360"/>
        </w:tabs>
      </w:pPr>
      <w:proofErr w:type="spellStart"/>
      <w:r>
        <w:t>geowłókniny</w:t>
      </w:r>
      <w:proofErr w:type="spellEnd"/>
      <w:r>
        <w:t xml:space="preserve"> o odpowiedniej gęstości, wytrzymałości, grubości i współczynniku wodoprzepuszczalności poziomej i pionowej,</w:t>
      </w:r>
    </w:p>
    <w:p w:rsidR="00C6560F" w:rsidRDefault="00C6560F" w:rsidP="00DB470A">
      <w:pPr>
        <w:numPr>
          <w:ilvl w:val="0"/>
          <w:numId w:val="3"/>
        </w:numPr>
        <w:tabs>
          <w:tab w:val="left" w:pos="360"/>
        </w:tabs>
      </w:pPr>
      <w:r>
        <w:t xml:space="preserve">warstwy kruszywa od 8 do </w:t>
      </w:r>
      <w:smartTag w:uri="urn:schemas-microsoft-com:office:smarttags" w:element="metricconverter">
        <w:smartTagPr>
          <w:attr w:name="ProductID" w:val="12 cm"/>
        </w:smartTagPr>
        <w:r>
          <w:t>12 cm</w:t>
        </w:r>
      </w:smartTag>
      <w:r>
        <w:t xml:space="preserve"> o odpowiednio dobranym uziarnieniu.</w:t>
      </w:r>
    </w:p>
    <w:p w:rsidR="00C6560F" w:rsidRDefault="00C6560F">
      <w:pPr>
        <w:pStyle w:val="Nagwek2"/>
      </w:pPr>
      <w:r>
        <w:lastRenderedPageBreak/>
        <w:t>5.10. Pielęgnacja podbudowy</w:t>
      </w:r>
    </w:p>
    <w:p w:rsidR="00C6560F" w:rsidRDefault="00C6560F">
      <w:r>
        <w:tab/>
        <w:t>Podbudowa z chudego betonu powinna być natychmiast po zagęszczeniu poddana pielęgnacji. Pielęgnacja powinna być przeprowadzona według jednego z następujących sposobów:</w:t>
      </w:r>
    </w:p>
    <w:p w:rsidR="00C6560F" w:rsidRDefault="00C6560F" w:rsidP="00DB470A">
      <w:pPr>
        <w:numPr>
          <w:ilvl w:val="0"/>
          <w:numId w:val="4"/>
        </w:numPr>
      </w:pPr>
      <w:r>
        <w:t xml:space="preserve">skropienie preparatem pielęgnacyjnym posiadającym aprobatę techniczną, w ilości ustalonej w SST, </w:t>
      </w:r>
    </w:p>
    <w:p w:rsidR="00C6560F" w:rsidRDefault="00C6560F" w:rsidP="00DB470A">
      <w:pPr>
        <w:numPr>
          <w:ilvl w:val="0"/>
          <w:numId w:val="4"/>
        </w:numPr>
      </w:pPr>
      <w:r>
        <w:t xml:space="preserve">przykrycie na okres 7 do 10 dni nieprzepuszczalną folią z tworzywa sztucznego, ułożoną na zakład co najmniej </w:t>
      </w:r>
      <w:smartTag w:uri="urn:schemas-microsoft-com:office:smarttags" w:element="metricconverter">
        <w:smartTagPr>
          <w:attr w:name="ProductID" w:val="30 cm"/>
        </w:smartTagPr>
        <w:r>
          <w:t>30 cm</w:t>
        </w:r>
      </w:smartTag>
      <w:r>
        <w:t xml:space="preserve"> i zabezpieczoną przed zerwaniem z powierzchni podbudowy przez wiatr,</w:t>
      </w:r>
    </w:p>
    <w:p w:rsidR="00C6560F" w:rsidRDefault="00C6560F" w:rsidP="00DB470A">
      <w:pPr>
        <w:numPr>
          <w:ilvl w:val="0"/>
          <w:numId w:val="4"/>
        </w:numPr>
      </w:pPr>
      <w:r>
        <w:t>przykrycie matami lub włókninami i spryskiwanie wodą przez okres 7 do 10 dni,</w:t>
      </w:r>
    </w:p>
    <w:p w:rsidR="00C6560F" w:rsidRDefault="00C6560F" w:rsidP="00DB470A">
      <w:pPr>
        <w:numPr>
          <w:ilvl w:val="0"/>
          <w:numId w:val="4"/>
        </w:numPr>
      </w:pPr>
      <w:r>
        <w:t>przykrycie warstwą piasku i utrzymanie jej w stanie wilgotnym przez okres  7 do 10 dni.</w:t>
      </w:r>
    </w:p>
    <w:p w:rsidR="00C6560F" w:rsidRDefault="00C6560F">
      <w:pPr>
        <w:pStyle w:val="Tekstprzypisudolnego"/>
        <w:ind w:left="283"/>
      </w:pPr>
      <w:r>
        <w:t>Stosowanie innych środków do pielęgnacji podbudowy wymaga każdorazowej zgody Inżyniera.</w:t>
      </w:r>
    </w:p>
    <w:p w:rsidR="00C6560F" w:rsidRDefault="00C6560F">
      <w:r>
        <w:tab/>
        <w:t>Nie należy dopuszczać żadnego ruchu pojazdów i maszyn po podbudowie w okresie 7 do 10 dni pielęgnacji, a po tym czasie ewentualny ruch budowlany może odbywać się wyłącznie za zgodą Inżyniera.</w:t>
      </w:r>
      <w:r>
        <w:tab/>
      </w:r>
    </w:p>
    <w:p w:rsidR="00C6560F" w:rsidRDefault="00C6560F">
      <w:pPr>
        <w:pStyle w:val="Nagwek2"/>
      </w:pPr>
      <w:r>
        <w:t>5.11. Odcinek próbny</w:t>
      </w:r>
    </w:p>
    <w:p w:rsidR="00C6560F" w:rsidRDefault="00C6560F">
      <w:pPr>
        <w:pStyle w:val="tekstost"/>
      </w:pPr>
      <w:r>
        <w:tab/>
        <w:t>Wykonawca powinien wykonać odcinek próbny w celu:</w:t>
      </w:r>
    </w:p>
    <w:p w:rsidR="00C6560F" w:rsidRDefault="00C6560F" w:rsidP="00DB470A">
      <w:pPr>
        <w:pStyle w:val="tekstost"/>
        <w:numPr>
          <w:ilvl w:val="0"/>
          <w:numId w:val="1"/>
        </w:numPr>
        <w:ind w:left="283"/>
      </w:pPr>
      <w:r>
        <w:t>stwierdzenia czy sprzęt do produkcji mieszanki betonowej, rozkładania i zagęszczania  jest właściwy,</w:t>
      </w:r>
    </w:p>
    <w:p w:rsidR="00C6560F" w:rsidRDefault="00C6560F" w:rsidP="00DB470A">
      <w:pPr>
        <w:pStyle w:val="tekstost"/>
        <w:numPr>
          <w:ilvl w:val="0"/>
          <w:numId w:val="1"/>
        </w:numPr>
        <w:ind w:left="283"/>
      </w:pPr>
      <w:r>
        <w:t>określenia grubości warstwy wbudowanej mieszanki przed zagęszczeniem,  koniecznej do uzyskania wymaganej grubości warstwy zagęszczonej,</w:t>
      </w:r>
    </w:p>
    <w:p w:rsidR="00C6560F" w:rsidRDefault="00C6560F" w:rsidP="00DB470A">
      <w:pPr>
        <w:pStyle w:val="tekstost"/>
        <w:numPr>
          <w:ilvl w:val="0"/>
          <w:numId w:val="1"/>
        </w:numPr>
        <w:ind w:left="283"/>
      </w:pPr>
      <w:r>
        <w:t>określenia  liczby przejść walców dla uzyskania wymaganego wskaźnika zagęszczenia podbudowy.</w:t>
      </w:r>
    </w:p>
    <w:p w:rsidR="00C6560F" w:rsidRDefault="00C6560F" w:rsidP="00DB470A">
      <w:pPr>
        <w:pStyle w:val="tekstost"/>
        <w:numPr>
          <w:ilvl w:val="12"/>
          <w:numId w:val="0"/>
        </w:numPr>
      </w:pPr>
      <w:r>
        <w:tab/>
        <w:t>Na odcinku  próbnym Wykonawca powinien użyć materiałów oraz sprzętu do mieszania , rozkładania i zagęszczania , jakie będą stosowane do wykonywania podbudowy z chudego betonu.</w:t>
      </w:r>
    </w:p>
    <w:p w:rsidR="00C6560F" w:rsidRDefault="00C6560F" w:rsidP="00DB470A">
      <w:pPr>
        <w:pStyle w:val="tekstost"/>
        <w:numPr>
          <w:ilvl w:val="12"/>
          <w:numId w:val="0"/>
        </w:numPr>
      </w:pPr>
      <w:r>
        <w:tab/>
        <w:t xml:space="preserve">Powierzchnia odcinka próbnego powinna wynosić od </w:t>
      </w:r>
      <w:smartTag w:uri="urn:schemas-microsoft-com:office:smarttags" w:element="metricconverter">
        <w:smartTagPr>
          <w:attr w:name="ProductID" w:val="400 m2"/>
        </w:smartTagPr>
        <w:r>
          <w:t>400 m</w:t>
        </w:r>
        <w:r>
          <w:rPr>
            <w:vertAlign w:val="superscript"/>
          </w:rPr>
          <w:t>2</w:t>
        </w:r>
      </w:smartTag>
      <w:r>
        <w:t xml:space="preserve"> do </w:t>
      </w:r>
      <w:smartTag w:uri="urn:schemas-microsoft-com:office:smarttags" w:element="metricconverter">
        <w:smartTagPr>
          <w:attr w:name="ProductID" w:val="800 m2"/>
        </w:smartTagPr>
        <w:r>
          <w:t>800 m</w:t>
        </w:r>
        <w:r>
          <w:rPr>
            <w:vertAlign w:val="superscript"/>
          </w:rPr>
          <w:t>2</w:t>
        </w:r>
      </w:smartTag>
      <w:r>
        <w:t xml:space="preserve">, a długość nie powinna być mniejsza niż </w:t>
      </w:r>
      <w:smartTag w:uri="urn:schemas-microsoft-com:office:smarttags" w:element="metricconverter">
        <w:smartTagPr>
          <w:attr w:name="ProductID" w:val="200 m"/>
        </w:smartTagPr>
        <w:r>
          <w:t>200 m</w:t>
        </w:r>
      </w:smartTag>
      <w:r>
        <w:t>.</w:t>
      </w:r>
    </w:p>
    <w:p w:rsidR="00C6560F" w:rsidRDefault="00C6560F" w:rsidP="00DB470A">
      <w:pPr>
        <w:pStyle w:val="tekstost"/>
        <w:numPr>
          <w:ilvl w:val="12"/>
          <w:numId w:val="0"/>
        </w:numPr>
      </w:pPr>
      <w:r>
        <w:tab/>
        <w:t>Odcinek próbny powinien być zlokalizowany w miejscu wskazanym przez Inżyniera.</w:t>
      </w:r>
    </w:p>
    <w:p w:rsidR="00C6560F" w:rsidRDefault="00C6560F" w:rsidP="00DB470A">
      <w:pPr>
        <w:numPr>
          <w:ilvl w:val="12"/>
          <w:numId w:val="0"/>
        </w:numPr>
      </w:pPr>
      <w:r>
        <w:tab/>
        <w:t>Wykonawca może przystąpić do wykonywania podbudowy z chudego betonu po zaakceptowaniu odcinka próbnego przez Inżyniera.</w:t>
      </w:r>
      <w:r>
        <w:tab/>
      </w:r>
    </w:p>
    <w:p w:rsidR="00C6560F" w:rsidRDefault="00C6560F" w:rsidP="00DB470A">
      <w:pPr>
        <w:pStyle w:val="Nagwek2"/>
        <w:numPr>
          <w:ilvl w:val="12"/>
          <w:numId w:val="0"/>
        </w:numPr>
      </w:pPr>
      <w:r>
        <w:t>5.12. Utrzymanie podbudowy</w:t>
      </w:r>
    </w:p>
    <w:p w:rsidR="00C6560F" w:rsidRDefault="00C6560F" w:rsidP="00DB470A">
      <w:pPr>
        <w:numPr>
          <w:ilvl w:val="12"/>
          <w:numId w:val="0"/>
        </w:numPr>
      </w:pPr>
      <w:r>
        <w:tab/>
        <w:t xml:space="preserve">Podbudowa po wykonaniu, a przed ułożeniem następnej warstwy, powinna być chroniona przed uszkodzeniami. Jeżeli Wykonawca będzie wykorzystywał, za zgodą Inżyniera, gotową podbudowę do ruchu budowlanego, to powinien naprawić wszelkie uszkodzenia podbudowy, spowodowane przez ten ruch, na własny koszt. </w:t>
      </w:r>
    </w:p>
    <w:p w:rsidR="00C6560F" w:rsidRDefault="00C6560F" w:rsidP="00DB470A">
      <w:pPr>
        <w:numPr>
          <w:ilvl w:val="12"/>
          <w:numId w:val="0"/>
        </w:numPr>
      </w:pPr>
      <w:r>
        <w:tab/>
        <w:t>Wykonawca jest zobowiązany do przeprowadzenia bieżących napraw podbudowy, uszkodzonej wskutek oddziaływania czynników atmosferycznych, takich jak opady deszczu, śniegu i mróz.</w:t>
      </w:r>
    </w:p>
    <w:p w:rsidR="00C6560F" w:rsidRDefault="00C6560F" w:rsidP="00DB470A">
      <w:pPr>
        <w:numPr>
          <w:ilvl w:val="12"/>
          <w:numId w:val="0"/>
        </w:numPr>
      </w:pPr>
      <w:r>
        <w:tab/>
        <w:t>Wykonawca jest zobowiązany wstrzymać ruch budowlany po okresie intensywnych opadów deszczu, jeżeli wystąpi możliwość uszkodzenia podbudowy.</w:t>
      </w:r>
    </w:p>
    <w:p w:rsidR="00C6560F" w:rsidRDefault="00C6560F" w:rsidP="00DB470A">
      <w:pPr>
        <w:numPr>
          <w:ilvl w:val="12"/>
          <w:numId w:val="0"/>
        </w:numPr>
      </w:pPr>
      <w:r>
        <w:tab/>
        <w:t>Podbudowa z chudego betonu musi być przed zimą przykryta co najmniej jedną warstwą mieszanki mineralno-asfaltowej.</w:t>
      </w:r>
    </w:p>
    <w:p w:rsidR="00C6560F" w:rsidRDefault="00C6560F" w:rsidP="00DB470A">
      <w:pPr>
        <w:pStyle w:val="Nagwek1"/>
        <w:numPr>
          <w:ilvl w:val="12"/>
          <w:numId w:val="0"/>
        </w:numPr>
      </w:pPr>
      <w:bookmarkStart w:id="16" w:name="_Toc423398335"/>
      <w:bookmarkStart w:id="17" w:name="_Toc423845943"/>
      <w:bookmarkStart w:id="18" w:name="_Toc32644950"/>
      <w:r>
        <w:t>6. kontrola jakości robót</w:t>
      </w:r>
      <w:bookmarkEnd w:id="16"/>
      <w:bookmarkEnd w:id="17"/>
      <w:bookmarkEnd w:id="18"/>
    </w:p>
    <w:p w:rsidR="00C6560F" w:rsidRDefault="00C6560F" w:rsidP="00DB470A">
      <w:pPr>
        <w:pStyle w:val="Nagwek2"/>
        <w:numPr>
          <w:ilvl w:val="12"/>
          <w:numId w:val="0"/>
        </w:numPr>
      </w:pPr>
      <w:r>
        <w:t>6.1. Ogólne zasady kontroli jakości robót</w:t>
      </w:r>
    </w:p>
    <w:p w:rsidR="00C6560F" w:rsidRDefault="00C6560F" w:rsidP="00DB470A">
      <w:pPr>
        <w:numPr>
          <w:ilvl w:val="12"/>
          <w:numId w:val="0"/>
        </w:numPr>
      </w:pPr>
      <w:r>
        <w:tab/>
        <w:t xml:space="preserve">Ogólne zasady kontroli jakości robót podano w SST D-M-00.00.00 „Wymagania ogólne” </w:t>
      </w:r>
      <w:proofErr w:type="spellStart"/>
      <w:r>
        <w:t>pkt</w:t>
      </w:r>
      <w:proofErr w:type="spellEnd"/>
      <w:r>
        <w:t xml:space="preserve"> 6.</w:t>
      </w:r>
    </w:p>
    <w:p w:rsidR="00C6560F" w:rsidRDefault="00C6560F" w:rsidP="00DB470A">
      <w:pPr>
        <w:pStyle w:val="Nagwek2"/>
        <w:numPr>
          <w:ilvl w:val="12"/>
          <w:numId w:val="0"/>
        </w:numPr>
      </w:pPr>
      <w:r>
        <w:t>6.2. Badania przed przystąpieniem do robót</w:t>
      </w:r>
    </w:p>
    <w:p w:rsidR="00C6560F" w:rsidRDefault="00C6560F" w:rsidP="00DB470A">
      <w:pPr>
        <w:numPr>
          <w:ilvl w:val="12"/>
          <w:numId w:val="0"/>
        </w:numPr>
      </w:pPr>
      <w:r>
        <w:tab/>
        <w:t>Przed przystąpieniem do robót Wykonawca powinien wykonać badania cementu,  kruszywa oraz w przypadkach wątpliwych wody i przedstawić wyniki tych badań Inżynierowi do akceptacji.</w:t>
      </w:r>
    </w:p>
    <w:p w:rsidR="00C6560F" w:rsidRDefault="00C6560F" w:rsidP="00DB470A">
      <w:pPr>
        <w:numPr>
          <w:ilvl w:val="12"/>
          <w:numId w:val="0"/>
        </w:numPr>
      </w:pPr>
      <w:r>
        <w:tab/>
        <w:t>Badania powinny obejmować wszystkie właściwości określone w punktach od 2.2 do 2.4 oraz w punktach 5.2 i 5.3 niniejszej OST.</w:t>
      </w:r>
    </w:p>
    <w:p w:rsidR="00C6560F" w:rsidRDefault="00C6560F" w:rsidP="00DB470A">
      <w:pPr>
        <w:pStyle w:val="Nagwek2"/>
        <w:numPr>
          <w:ilvl w:val="12"/>
          <w:numId w:val="0"/>
        </w:numPr>
      </w:pPr>
      <w:r>
        <w:t>6.3. Badania w czasie robót</w:t>
      </w:r>
    </w:p>
    <w:p w:rsidR="00C6560F" w:rsidRDefault="00C6560F" w:rsidP="00DB470A">
      <w:pPr>
        <w:numPr>
          <w:ilvl w:val="12"/>
          <w:numId w:val="0"/>
        </w:numPr>
      </w:pPr>
      <w:r>
        <w:rPr>
          <w:b/>
        </w:rPr>
        <w:t xml:space="preserve">6.3.1. </w:t>
      </w:r>
      <w:r>
        <w:t>Częstotliwość oraz zakres badań i pomiarów</w:t>
      </w:r>
    </w:p>
    <w:p w:rsidR="00C6560F" w:rsidRDefault="00C6560F" w:rsidP="00DB470A">
      <w:pPr>
        <w:numPr>
          <w:ilvl w:val="12"/>
          <w:numId w:val="0"/>
        </w:numPr>
        <w:spacing w:before="120"/>
      </w:pPr>
      <w:r>
        <w:tab/>
        <w:t>Częstotliwość oraz zakres badań i pomiarów w czasie wykonywania podbudowy z chudego betonu podano w tablicy 5.</w:t>
      </w:r>
    </w:p>
    <w:p w:rsidR="00C6560F" w:rsidRDefault="00C6560F" w:rsidP="00DB470A">
      <w:pPr>
        <w:numPr>
          <w:ilvl w:val="12"/>
          <w:numId w:val="0"/>
        </w:numPr>
        <w:spacing w:before="120" w:after="120"/>
      </w:pPr>
      <w:r>
        <w:rPr>
          <w:b/>
        </w:rPr>
        <w:lastRenderedPageBreak/>
        <w:t xml:space="preserve">6.3.2. </w:t>
      </w:r>
      <w:r>
        <w:t>Właściwości kruszywa</w:t>
      </w:r>
    </w:p>
    <w:p w:rsidR="00C6560F" w:rsidRDefault="00C6560F" w:rsidP="00DB470A">
      <w:pPr>
        <w:numPr>
          <w:ilvl w:val="12"/>
          <w:numId w:val="0"/>
        </w:numPr>
      </w:pPr>
      <w:r>
        <w:tab/>
        <w:t>Właściwości kruszywa należy określić przy każdej zmianie rodzaju kruszywa i dla każdej partii. Właściwości kruszywa powinny być zgodne z wymaganiami normy PN-S-96013:1997[20].</w:t>
      </w:r>
    </w:p>
    <w:p w:rsidR="00C6560F" w:rsidRDefault="00C6560F" w:rsidP="00DB470A">
      <w:pPr>
        <w:numPr>
          <w:ilvl w:val="12"/>
          <w:numId w:val="0"/>
        </w:numPr>
        <w:tabs>
          <w:tab w:val="left" w:pos="851"/>
        </w:tabs>
      </w:pPr>
    </w:p>
    <w:p w:rsidR="00C6560F" w:rsidRDefault="00C6560F" w:rsidP="00DB470A">
      <w:pPr>
        <w:numPr>
          <w:ilvl w:val="12"/>
          <w:numId w:val="0"/>
        </w:numPr>
        <w:tabs>
          <w:tab w:val="left" w:pos="851"/>
        </w:tabs>
      </w:pPr>
      <w:r>
        <w:t>Tablica 5. Częstotliwość oraz zakres badań i pomiarów przy wykonywaniu podbudowy</w:t>
      </w:r>
    </w:p>
    <w:p w:rsidR="00C6560F" w:rsidRDefault="00C6560F" w:rsidP="00DB470A">
      <w:pPr>
        <w:numPr>
          <w:ilvl w:val="12"/>
          <w:numId w:val="0"/>
        </w:numPr>
        <w:tabs>
          <w:tab w:val="left" w:pos="851"/>
        </w:tabs>
        <w:spacing w:after="120"/>
      </w:pPr>
      <w:r>
        <w:tab/>
        <w:t>chudego betonu</w:t>
      </w:r>
    </w:p>
    <w:tbl>
      <w:tblPr>
        <w:tblW w:w="0" w:type="auto"/>
        <w:tblLayout w:type="fixed"/>
        <w:tblCellMar>
          <w:left w:w="70" w:type="dxa"/>
          <w:right w:w="70" w:type="dxa"/>
        </w:tblCellMar>
        <w:tblLook w:val="0000"/>
      </w:tblPr>
      <w:tblGrid>
        <w:gridCol w:w="496"/>
        <w:gridCol w:w="4252"/>
        <w:gridCol w:w="1380"/>
        <w:gridCol w:w="1382"/>
      </w:tblGrid>
      <w:tr w:rsidR="00C6560F">
        <w:tc>
          <w:tcPr>
            <w:tcW w:w="496" w:type="dxa"/>
            <w:tcBorders>
              <w:top w:val="single" w:sz="6" w:space="0" w:color="auto"/>
              <w:left w:val="single" w:sz="6" w:space="0" w:color="auto"/>
            </w:tcBorders>
          </w:tcPr>
          <w:p w:rsidR="00C6560F" w:rsidRDefault="00C6560F" w:rsidP="00DB470A">
            <w:pPr>
              <w:numPr>
                <w:ilvl w:val="12"/>
                <w:numId w:val="0"/>
              </w:numPr>
              <w:jc w:val="center"/>
            </w:pPr>
          </w:p>
        </w:tc>
        <w:tc>
          <w:tcPr>
            <w:tcW w:w="4252" w:type="dxa"/>
            <w:tcBorders>
              <w:top w:val="single" w:sz="6" w:space="0" w:color="auto"/>
              <w:left w:val="single" w:sz="6" w:space="0" w:color="auto"/>
            </w:tcBorders>
          </w:tcPr>
          <w:p w:rsidR="00C6560F" w:rsidRDefault="00C6560F" w:rsidP="00DB470A">
            <w:pPr>
              <w:numPr>
                <w:ilvl w:val="12"/>
                <w:numId w:val="0"/>
              </w:numPr>
            </w:pP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jc w:val="center"/>
            </w:pPr>
            <w:r>
              <w:t>Częstotliwość badań</w:t>
            </w:r>
          </w:p>
        </w:tc>
      </w:tr>
      <w:tr w:rsidR="00C6560F">
        <w:tc>
          <w:tcPr>
            <w:tcW w:w="496" w:type="dxa"/>
            <w:tcBorders>
              <w:left w:val="single" w:sz="6" w:space="0" w:color="auto"/>
              <w:bottom w:val="double" w:sz="6" w:space="0" w:color="auto"/>
              <w:right w:val="single" w:sz="6" w:space="0" w:color="auto"/>
            </w:tcBorders>
          </w:tcPr>
          <w:p w:rsidR="00C6560F" w:rsidRDefault="00C6560F" w:rsidP="00DB470A">
            <w:pPr>
              <w:numPr>
                <w:ilvl w:val="12"/>
                <w:numId w:val="0"/>
              </w:numPr>
              <w:spacing w:before="60"/>
              <w:jc w:val="center"/>
            </w:pPr>
            <w:r>
              <w:t>Lp.</w:t>
            </w:r>
          </w:p>
        </w:tc>
        <w:tc>
          <w:tcPr>
            <w:tcW w:w="4252" w:type="dxa"/>
            <w:tcBorders>
              <w:bottom w:val="double" w:sz="6" w:space="0" w:color="auto"/>
            </w:tcBorders>
          </w:tcPr>
          <w:p w:rsidR="00C6560F" w:rsidRDefault="00C6560F" w:rsidP="00DB470A">
            <w:pPr>
              <w:numPr>
                <w:ilvl w:val="12"/>
                <w:numId w:val="0"/>
              </w:numPr>
              <w:spacing w:before="60"/>
              <w:jc w:val="center"/>
            </w:pPr>
            <w:r>
              <w:t>Wyszczególnienie badań</w:t>
            </w:r>
          </w:p>
        </w:tc>
        <w:tc>
          <w:tcPr>
            <w:tcW w:w="1380" w:type="dxa"/>
            <w:tcBorders>
              <w:top w:val="single" w:sz="6" w:space="0" w:color="auto"/>
              <w:left w:val="single" w:sz="6" w:space="0" w:color="auto"/>
              <w:bottom w:val="double" w:sz="6" w:space="0" w:color="auto"/>
              <w:right w:val="single" w:sz="6" w:space="0" w:color="auto"/>
            </w:tcBorders>
          </w:tcPr>
          <w:p w:rsidR="00C6560F" w:rsidRDefault="00C6560F" w:rsidP="00DB470A">
            <w:pPr>
              <w:numPr>
                <w:ilvl w:val="12"/>
                <w:numId w:val="0"/>
              </w:numPr>
              <w:spacing w:before="120"/>
              <w:jc w:val="center"/>
              <w:rPr>
                <w:sz w:val="16"/>
              </w:rPr>
            </w:pPr>
            <w:r>
              <w:rPr>
                <w:sz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tcPr>
          <w:p w:rsidR="00C6560F" w:rsidRDefault="00C6560F" w:rsidP="00DB470A">
            <w:pPr>
              <w:numPr>
                <w:ilvl w:val="12"/>
                <w:numId w:val="0"/>
              </w:numPr>
              <w:jc w:val="center"/>
              <w:rPr>
                <w:sz w:val="16"/>
              </w:rPr>
            </w:pPr>
            <w:r>
              <w:rPr>
                <w:sz w:val="16"/>
              </w:rPr>
              <w:t>Maksymalna po-</w:t>
            </w:r>
          </w:p>
          <w:p w:rsidR="00C6560F" w:rsidRDefault="00C6560F" w:rsidP="00DB470A">
            <w:pPr>
              <w:numPr>
                <w:ilvl w:val="12"/>
                <w:numId w:val="0"/>
              </w:numPr>
              <w:jc w:val="center"/>
              <w:rPr>
                <w:sz w:val="16"/>
              </w:rPr>
            </w:pPr>
            <w:r>
              <w:rPr>
                <w:sz w:val="16"/>
              </w:rPr>
              <w:t xml:space="preserve">wierzchnia </w:t>
            </w:r>
            <w:proofErr w:type="spellStart"/>
            <w:r>
              <w:rPr>
                <w:sz w:val="16"/>
              </w:rPr>
              <w:t>podbu</w:t>
            </w:r>
            <w:proofErr w:type="spellEnd"/>
            <w:r>
              <w:rPr>
                <w:sz w:val="16"/>
              </w:rPr>
              <w:t>-</w:t>
            </w:r>
          </w:p>
          <w:p w:rsidR="00C6560F" w:rsidRDefault="00C6560F" w:rsidP="00DB470A">
            <w:pPr>
              <w:numPr>
                <w:ilvl w:val="12"/>
                <w:numId w:val="0"/>
              </w:numPr>
              <w:jc w:val="center"/>
              <w:rPr>
                <w:sz w:val="16"/>
              </w:rPr>
            </w:pPr>
            <w:proofErr w:type="spellStart"/>
            <w:r>
              <w:rPr>
                <w:sz w:val="16"/>
              </w:rPr>
              <w:t>dowy</w:t>
            </w:r>
            <w:proofErr w:type="spellEnd"/>
            <w:r>
              <w:rPr>
                <w:sz w:val="16"/>
              </w:rPr>
              <w:t xml:space="preserve"> na jedno badanie </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jc w:val="center"/>
            </w:pPr>
            <w:r>
              <w:t>1</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pPr>
            <w:r>
              <w:t xml:space="preserve">Właściwości kruszywa </w:t>
            </w: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dla każdej partii kruszywa i przy każdej zmianie kruszywa</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jc w:val="center"/>
            </w:pPr>
            <w:r>
              <w:t>2</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Właściwości wody</w:t>
            </w: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dla każdego wątpliwego źródła</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jc w:val="center"/>
            </w:pPr>
            <w:r>
              <w:t>3</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Właściwości cementu</w:t>
            </w: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dla każdej partii</w:t>
            </w:r>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4</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Uziarnienie mieszanki mineralnej</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5</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Wilgotność mieszanki chudego betonu</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6</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Zagęszczenie mieszanki chudego betonu</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7</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Grubość podbudowy z chudego betonu</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8</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Oznaczenie wytrzymałości na ściskanie chudego betonu;            po   7 dniach</w:t>
            </w:r>
          </w:p>
          <w:p w:rsidR="00C6560F" w:rsidRDefault="00C6560F" w:rsidP="00DB470A">
            <w:pPr>
              <w:numPr>
                <w:ilvl w:val="12"/>
                <w:numId w:val="0"/>
              </w:numPr>
              <w:spacing w:after="60"/>
            </w:pPr>
            <w:r>
              <w:t xml:space="preserve">                        po 28 dniach</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p>
          <w:p w:rsidR="00C6560F" w:rsidRDefault="00C6560F" w:rsidP="00DB470A">
            <w:pPr>
              <w:numPr>
                <w:ilvl w:val="12"/>
                <w:numId w:val="0"/>
              </w:numPr>
              <w:jc w:val="center"/>
            </w:pPr>
            <w:r>
              <w:t>3 próbki</w:t>
            </w:r>
          </w:p>
          <w:p w:rsidR="00C6560F" w:rsidRDefault="00C6560F" w:rsidP="00DB470A">
            <w:pPr>
              <w:numPr>
                <w:ilvl w:val="12"/>
                <w:numId w:val="0"/>
              </w:numPr>
              <w:jc w:val="center"/>
            </w:pPr>
            <w:r>
              <w:t>3 próbki</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p>
          <w:p w:rsidR="00C6560F" w:rsidRDefault="00C6560F" w:rsidP="00DB470A">
            <w:pPr>
              <w:numPr>
                <w:ilvl w:val="12"/>
                <w:numId w:val="0"/>
              </w:numPr>
              <w:spacing w:before="60"/>
              <w:jc w:val="center"/>
            </w:pPr>
            <w:smartTag w:uri="urn:schemas-microsoft-com:office:smarttags" w:element="metricconverter">
              <w:smartTagPr>
                <w:attr w:name="ProductID" w:val="400 m2"/>
              </w:smartTagPr>
              <w:r>
                <w:t>400 m</w:t>
              </w:r>
              <w:r>
                <w:rPr>
                  <w:vertAlign w:val="superscript"/>
                </w:rPr>
                <w:t>2</w:t>
              </w:r>
            </w:smartTag>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9</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Oznaczenie nasiąkliwości chudego betonu</w:t>
            </w:r>
          </w:p>
        </w:tc>
        <w:tc>
          <w:tcPr>
            <w:tcW w:w="2762" w:type="dxa"/>
            <w:gridSpan w:val="2"/>
            <w:tcBorders>
              <w:top w:val="single" w:sz="6" w:space="0" w:color="auto"/>
              <w:left w:val="single" w:sz="6" w:space="0" w:color="auto"/>
              <w:right w:val="single" w:sz="6" w:space="0" w:color="auto"/>
            </w:tcBorders>
          </w:tcPr>
          <w:p w:rsidR="00C6560F" w:rsidRDefault="00C6560F" w:rsidP="00DB470A">
            <w:pPr>
              <w:numPr>
                <w:ilvl w:val="12"/>
                <w:numId w:val="0"/>
              </w:numPr>
              <w:spacing w:before="60"/>
              <w:jc w:val="center"/>
            </w:pPr>
            <w:r>
              <w:t>w przypadkach wątpliwych</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10</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Oznaczenie mrozoodporności chudego betonu</w:t>
            </w:r>
          </w:p>
        </w:tc>
        <w:tc>
          <w:tcPr>
            <w:tcW w:w="2762" w:type="dxa"/>
            <w:gridSpan w:val="2"/>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i na zlecenie Inżyniera</w:t>
            </w:r>
          </w:p>
        </w:tc>
      </w:tr>
    </w:tbl>
    <w:p w:rsidR="00C6560F" w:rsidRDefault="00C6560F" w:rsidP="00DB470A">
      <w:pPr>
        <w:numPr>
          <w:ilvl w:val="12"/>
          <w:numId w:val="0"/>
        </w:numPr>
      </w:pPr>
    </w:p>
    <w:p w:rsidR="00C6560F" w:rsidRDefault="00C6560F" w:rsidP="00DB470A">
      <w:pPr>
        <w:numPr>
          <w:ilvl w:val="12"/>
          <w:numId w:val="0"/>
        </w:numPr>
        <w:spacing w:before="120"/>
      </w:pPr>
      <w:r>
        <w:rPr>
          <w:b/>
        </w:rPr>
        <w:t xml:space="preserve">6.3.3. </w:t>
      </w:r>
      <w:r>
        <w:t>Właściwości wody</w:t>
      </w:r>
    </w:p>
    <w:p w:rsidR="00C6560F" w:rsidRDefault="00C6560F" w:rsidP="00DB470A">
      <w:pPr>
        <w:numPr>
          <w:ilvl w:val="12"/>
          <w:numId w:val="0"/>
        </w:numPr>
        <w:spacing w:before="120"/>
      </w:pPr>
      <w:r>
        <w:tab/>
        <w:t>W przypadkach wątpliwych należy przeprowadzić badania wody według PN-B-32250:1988 [18].</w:t>
      </w:r>
    </w:p>
    <w:p w:rsidR="00C6560F" w:rsidRDefault="00C6560F" w:rsidP="00DB470A">
      <w:pPr>
        <w:numPr>
          <w:ilvl w:val="12"/>
          <w:numId w:val="0"/>
        </w:numPr>
        <w:spacing w:before="120"/>
      </w:pPr>
      <w:r>
        <w:rPr>
          <w:b/>
        </w:rPr>
        <w:t>6.3.4.</w:t>
      </w:r>
      <w:r>
        <w:t xml:space="preserve">  Właściwości cementu</w:t>
      </w:r>
    </w:p>
    <w:p w:rsidR="00C6560F" w:rsidRDefault="00C6560F" w:rsidP="00DB470A">
      <w:pPr>
        <w:numPr>
          <w:ilvl w:val="12"/>
          <w:numId w:val="0"/>
        </w:numPr>
        <w:spacing w:before="120"/>
      </w:pPr>
      <w:r>
        <w:tab/>
        <w:t>Dla każdej dostawy cementu należy określić właściwości podane w tablicy 2.</w:t>
      </w:r>
    </w:p>
    <w:p w:rsidR="00C6560F" w:rsidRDefault="00C6560F" w:rsidP="00DB470A">
      <w:pPr>
        <w:numPr>
          <w:ilvl w:val="12"/>
          <w:numId w:val="0"/>
        </w:numPr>
        <w:spacing w:before="120"/>
      </w:pPr>
      <w:r>
        <w:rPr>
          <w:b/>
        </w:rPr>
        <w:t xml:space="preserve">6.3.5. </w:t>
      </w:r>
      <w:r>
        <w:t>Uziarnienie mieszanki mineralnej</w:t>
      </w:r>
    </w:p>
    <w:p w:rsidR="00C6560F" w:rsidRDefault="00C6560F" w:rsidP="00DB470A">
      <w:pPr>
        <w:numPr>
          <w:ilvl w:val="12"/>
          <w:numId w:val="0"/>
        </w:numPr>
        <w:spacing w:before="120"/>
      </w:pPr>
      <w:r>
        <w:tab/>
        <w:t>Próbki do badań należy pobierać z wytwórni po wymieszaniu kruszyw, a przed podaniem cementu. Badanie należy wykonać zgodnie z normą PN-B-06714-15:1991 [11].</w:t>
      </w:r>
    </w:p>
    <w:p w:rsidR="00C6560F" w:rsidRDefault="00C6560F" w:rsidP="00DB470A">
      <w:pPr>
        <w:numPr>
          <w:ilvl w:val="12"/>
          <w:numId w:val="0"/>
        </w:numPr>
      </w:pPr>
      <w:r>
        <w:tab/>
        <w:t>Krzywa uziarnienia mieszanki mineralnej powinna być zgodna z receptą.</w:t>
      </w:r>
    </w:p>
    <w:p w:rsidR="00C6560F" w:rsidRDefault="00C6560F" w:rsidP="00DB470A">
      <w:pPr>
        <w:numPr>
          <w:ilvl w:val="12"/>
          <w:numId w:val="0"/>
        </w:numPr>
        <w:rPr>
          <w:b/>
        </w:rPr>
      </w:pPr>
    </w:p>
    <w:p w:rsidR="00C6560F" w:rsidRDefault="00C6560F" w:rsidP="00DB470A">
      <w:pPr>
        <w:numPr>
          <w:ilvl w:val="12"/>
          <w:numId w:val="0"/>
        </w:numPr>
      </w:pPr>
      <w:r>
        <w:rPr>
          <w:b/>
        </w:rPr>
        <w:t xml:space="preserve">6.3.6. </w:t>
      </w:r>
      <w:r>
        <w:t>Wilgotność mieszanki chudego betonu</w:t>
      </w:r>
    </w:p>
    <w:p w:rsidR="00C6560F" w:rsidRDefault="00C6560F" w:rsidP="00DB470A">
      <w:pPr>
        <w:numPr>
          <w:ilvl w:val="12"/>
          <w:numId w:val="0"/>
        </w:numPr>
        <w:spacing w:before="120"/>
      </w:pPr>
      <w:r>
        <w:tab/>
        <w:t>Wilgotność mieszanki chudego betonu powinna być równa wilgotności optymalnej, określonej w recepcie z tolerancją + 10%, - 20% jej wartości.</w:t>
      </w:r>
    </w:p>
    <w:p w:rsidR="00C6560F" w:rsidRDefault="00C6560F" w:rsidP="00DB470A">
      <w:pPr>
        <w:numPr>
          <w:ilvl w:val="12"/>
          <w:numId w:val="0"/>
        </w:numPr>
        <w:spacing w:before="120"/>
      </w:pPr>
    </w:p>
    <w:p w:rsidR="00C6560F" w:rsidRDefault="00C6560F" w:rsidP="00DB470A">
      <w:pPr>
        <w:numPr>
          <w:ilvl w:val="12"/>
          <w:numId w:val="0"/>
        </w:numPr>
        <w:spacing w:before="120"/>
      </w:pPr>
      <w:r>
        <w:rPr>
          <w:b/>
        </w:rPr>
        <w:t xml:space="preserve">6.3.7. </w:t>
      </w:r>
      <w:r>
        <w:t>Zagęszczenie podbudowy z chudego betonu</w:t>
      </w:r>
    </w:p>
    <w:p w:rsidR="00C6560F" w:rsidRDefault="00C6560F" w:rsidP="00DB470A">
      <w:pPr>
        <w:numPr>
          <w:ilvl w:val="12"/>
          <w:numId w:val="0"/>
        </w:numPr>
        <w:spacing w:before="120"/>
      </w:pPr>
      <w:r>
        <w:tab/>
        <w:t xml:space="preserve">Mieszanka chudego betonu powinna być zagęszczana do osiągnięcia wskaźnika zagęszczenia nie mniejszego niż 0,98 maksymalnego zagęszczenia laboratoryjnego oznaczonego zgodnie z normalną próbą </w:t>
      </w:r>
      <w:proofErr w:type="spellStart"/>
      <w:r>
        <w:t>Proctora</w:t>
      </w:r>
      <w:proofErr w:type="spellEnd"/>
      <w:r>
        <w:t xml:space="preserve"> (metoda II), według PN-B-04481:1988 [9].</w:t>
      </w:r>
    </w:p>
    <w:p w:rsidR="00C6560F" w:rsidRDefault="00C6560F" w:rsidP="00DB470A">
      <w:pPr>
        <w:numPr>
          <w:ilvl w:val="12"/>
          <w:numId w:val="0"/>
        </w:numPr>
        <w:spacing w:before="120"/>
      </w:pPr>
      <w:r>
        <w:rPr>
          <w:b/>
        </w:rPr>
        <w:t xml:space="preserve">6.3.8. </w:t>
      </w:r>
      <w:r>
        <w:t>Grubość podbudowy z chudego betonu</w:t>
      </w:r>
    </w:p>
    <w:p w:rsidR="00C6560F" w:rsidRDefault="00C6560F" w:rsidP="00DB470A">
      <w:pPr>
        <w:numPr>
          <w:ilvl w:val="12"/>
          <w:numId w:val="0"/>
        </w:numPr>
        <w:spacing w:before="120"/>
      </w:pPr>
      <w:r>
        <w:tab/>
        <w:t xml:space="preserve">Grubość warstwy należy mierzyć bezpośrednio po jej zagęszczeniu. Grubość podbudowy powinna być zgodna z dokumentacją projektową z tolerancją  </w:t>
      </w:r>
      <w:r>
        <w:sym w:font="Symbol" w:char="F0B1"/>
      </w:r>
      <w:r>
        <w:t xml:space="preserve"> </w:t>
      </w:r>
      <w:smartTag w:uri="urn:schemas-microsoft-com:office:smarttags" w:element="metricconverter">
        <w:smartTagPr>
          <w:attr w:name="ProductID" w:val="1 cm"/>
        </w:smartTagPr>
        <w:r>
          <w:t xml:space="preserve">1 </w:t>
        </w:r>
        <w:proofErr w:type="spellStart"/>
        <w:r>
          <w:t>cm</w:t>
        </w:r>
      </w:smartTag>
      <w:proofErr w:type="spellEnd"/>
      <w:r>
        <w:t>.</w:t>
      </w:r>
    </w:p>
    <w:p w:rsidR="00C6560F" w:rsidRDefault="00C6560F" w:rsidP="00DB470A">
      <w:pPr>
        <w:numPr>
          <w:ilvl w:val="12"/>
          <w:numId w:val="0"/>
        </w:numPr>
        <w:spacing w:before="120"/>
      </w:pPr>
      <w:r>
        <w:rPr>
          <w:b/>
        </w:rPr>
        <w:t xml:space="preserve">6.3.9. </w:t>
      </w:r>
      <w:r>
        <w:t>Wytrzymałość na ściskanie chudego betonu</w:t>
      </w:r>
    </w:p>
    <w:p w:rsidR="00C6560F" w:rsidRDefault="00C6560F" w:rsidP="00DB470A">
      <w:pPr>
        <w:numPr>
          <w:ilvl w:val="12"/>
          <w:numId w:val="0"/>
        </w:numPr>
        <w:spacing w:before="120"/>
      </w:pPr>
      <w:r>
        <w:lastRenderedPageBreak/>
        <w:tab/>
        <w:t xml:space="preserve">Wytrzymałość na ściskanie określa się na próbkach walcowych o średnicy i wysokości </w:t>
      </w:r>
      <w:smartTag w:uri="urn:schemas-microsoft-com:office:smarttags" w:element="metricconverter">
        <w:smartTagPr>
          <w:attr w:name="ProductID" w:val="16,0 cm"/>
        </w:smartTagPr>
        <w:r>
          <w:t xml:space="preserve">16,0 </w:t>
        </w:r>
        <w:proofErr w:type="spellStart"/>
        <w:r>
          <w:t>cm</w:t>
        </w:r>
      </w:smartTag>
      <w:proofErr w:type="spellEnd"/>
      <w:r>
        <w:t>. Próbki do badań należy pobierać z miejsc wybranych losowo, w świeżo rozłożonej warstwie. Próbki w ilości 6 sztuk należy formować i przechowywać zgodnie z normą PN-S-96013: 1997 [20]. Trzy próbki należy badać po 7 dniach i trzy po 28 dniach przechowywania. Wyniki wytrzymałości na ściskanie powinny być zgodne z wymaganiami podanymi w tablicy 4.</w:t>
      </w:r>
    </w:p>
    <w:p w:rsidR="00C6560F" w:rsidRDefault="00C6560F" w:rsidP="00DB470A">
      <w:pPr>
        <w:numPr>
          <w:ilvl w:val="12"/>
          <w:numId w:val="0"/>
        </w:numPr>
        <w:spacing w:before="120"/>
      </w:pPr>
      <w:r>
        <w:rPr>
          <w:b/>
        </w:rPr>
        <w:t xml:space="preserve">6.3.10. </w:t>
      </w:r>
      <w:r>
        <w:t>Nasiąkliwość i mrozoodporność chudego betonu</w:t>
      </w:r>
    </w:p>
    <w:p w:rsidR="00C6560F" w:rsidRDefault="00C6560F" w:rsidP="00DB470A">
      <w:pPr>
        <w:numPr>
          <w:ilvl w:val="12"/>
          <w:numId w:val="0"/>
        </w:numPr>
        <w:spacing w:before="120"/>
      </w:pPr>
      <w:r>
        <w:tab/>
        <w:t>Nasiąkliwość i mrozoodporność określa się po 28 dniach dojrzewania betonu, zgodnie z normą PN-B-06250:1988 [10].</w:t>
      </w:r>
    </w:p>
    <w:p w:rsidR="00C6560F" w:rsidRDefault="00C6560F" w:rsidP="00DB470A">
      <w:pPr>
        <w:numPr>
          <w:ilvl w:val="12"/>
          <w:numId w:val="0"/>
        </w:numPr>
      </w:pPr>
      <w:r>
        <w:tab/>
        <w:t>Wyniki badań powinny być zgodne z wymaganiami podanymi w  tablicy 4.</w:t>
      </w:r>
    </w:p>
    <w:p w:rsidR="00C6560F" w:rsidRDefault="00C6560F" w:rsidP="00DB470A">
      <w:pPr>
        <w:pStyle w:val="Nagwek2"/>
        <w:numPr>
          <w:ilvl w:val="12"/>
          <w:numId w:val="0"/>
        </w:numPr>
      </w:pPr>
      <w:r>
        <w:t>6.4. Wymagania dotyczące cech geometrycznych podbudowy z chudego betonu</w:t>
      </w:r>
    </w:p>
    <w:p w:rsidR="00C6560F" w:rsidRDefault="00C6560F" w:rsidP="00DB470A">
      <w:pPr>
        <w:numPr>
          <w:ilvl w:val="12"/>
          <w:numId w:val="0"/>
        </w:numPr>
      </w:pPr>
      <w:r>
        <w:rPr>
          <w:b/>
        </w:rPr>
        <w:t xml:space="preserve">6.4.1. </w:t>
      </w:r>
      <w:r>
        <w:t>Częstotliwość oraz zakres badań i  pomiarów</w:t>
      </w:r>
    </w:p>
    <w:p w:rsidR="00C6560F" w:rsidRDefault="00C6560F" w:rsidP="00DB470A">
      <w:pPr>
        <w:numPr>
          <w:ilvl w:val="12"/>
          <w:numId w:val="0"/>
        </w:numPr>
        <w:spacing w:before="120"/>
      </w:pPr>
      <w:r>
        <w:tab/>
        <w:t xml:space="preserve"> Częstotliwość oraz zakres badań i pomiarów podaje  tablica 6.</w:t>
      </w:r>
    </w:p>
    <w:p w:rsidR="00C6560F" w:rsidRDefault="00C6560F" w:rsidP="00DB470A">
      <w:pPr>
        <w:numPr>
          <w:ilvl w:val="12"/>
          <w:numId w:val="0"/>
        </w:numPr>
        <w:spacing w:before="120"/>
      </w:pPr>
      <w:r>
        <w:t>Tablica 6. Częstotliwość oraz zakres badań i  pomiarów wykonanej podbudowy z chudego</w:t>
      </w:r>
    </w:p>
    <w:p w:rsidR="00C6560F" w:rsidRDefault="00C6560F" w:rsidP="00DB470A">
      <w:pPr>
        <w:numPr>
          <w:ilvl w:val="12"/>
          <w:numId w:val="0"/>
        </w:numPr>
        <w:tabs>
          <w:tab w:val="left" w:pos="851"/>
        </w:tabs>
        <w:spacing w:after="120"/>
      </w:pPr>
      <w:r>
        <w:tab/>
        <w:t>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835"/>
        <w:gridCol w:w="4252"/>
      </w:tblGrid>
      <w:tr w:rsidR="00C6560F">
        <w:tc>
          <w:tcPr>
            <w:tcW w:w="496" w:type="dxa"/>
            <w:tcBorders>
              <w:bottom w:val="double" w:sz="6" w:space="0" w:color="auto"/>
            </w:tcBorders>
          </w:tcPr>
          <w:p w:rsidR="00C6560F" w:rsidRDefault="00C6560F" w:rsidP="00DB470A">
            <w:pPr>
              <w:numPr>
                <w:ilvl w:val="12"/>
                <w:numId w:val="0"/>
              </w:numPr>
              <w:spacing w:before="180" w:after="60"/>
              <w:ind w:right="-11"/>
              <w:jc w:val="center"/>
              <w:rPr>
                <w:b/>
              </w:rPr>
            </w:pPr>
            <w:r>
              <w:t>Lp.</w:t>
            </w:r>
          </w:p>
        </w:tc>
        <w:tc>
          <w:tcPr>
            <w:tcW w:w="2835" w:type="dxa"/>
            <w:tcBorders>
              <w:bottom w:val="double" w:sz="6" w:space="0" w:color="auto"/>
            </w:tcBorders>
          </w:tcPr>
          <w:p w:rsidR="00C6560F" w:rsidRDefault="00C6560F" w:rsidP="00DB470A">
            <w:pPr>
              <w:numPr>
                <w:ilvl w:val="12"/>
                <w:numId w:val="0"/>
              </w:numPr>
              <w:spacing w:before="60"/>
              <w:ind w:right="-11"/>
              <w:jc w:val="center"/>
              <w:rPr>
                <w:b/>
              </w:rPr>
            </w:pPr>
            <w:r>
              <w:t>Wyszczególnienie badań i pomiarów</w:t>
            </w:r>
          </w:p>
        </w:tc>
        <w:tc>
          <w:tcPr>
            <w:tcW w:w="4252" w:type="dxa"/>
            <w:tcBorders>
              <w:bottom w:val="double" w:sz="6" w:space="0" w:color="auto"/>
            </w:tcBorders>
          </w:tcPr>
          <w:p w:rsidR="00C6560F" w:rsidRDefault="00C6560F" w:rsidP="00DB470A">
            <w:pPr>
              <w:numPr>
                <w:ilvl w:val="12"/>
                <w:numId w:val="0"/>
              </w:numPr>
              <w:spacing w:before="60"/>
              <w:ind w:right="-11"/>
              <w:jc w:val="center"/>
            </w:pPr>
            <w:r>
              <w:t xml:space="preserve">Minimalna częstotliwość </w:t>
            </w:r>
          </w:p>
          <w:p w:rsidR="00C6560F" w:rsidRDefault="00C6560F" w:rsidP="00DB470A">
            <w:pPr>
              <w:numPr>
                <w:ilvl w:val="12"/>
                <w:numId w:val="0"/>
              </w:numPr>
              <w:spacing w:after="60"/>
              <w:ind w:right="-11"/>
              <w:jc w:val="center"/>
              <w:rPr>
                <w:b/>
              </w:rPr>
            </w:pPr>
            <w:r>
              <w:t>badań i  pomiarów</w:t>
            </w:r>
          </w:p>
        </w:tc>
      </w:tr>
      <w:tr w:rsidR="00C6560F">
        <w:tc>
          <w:tcPr>
            <w:tcW w:w="496" w:type="dxa"/>
            <w:tcBorders>
              <w:top w:val="nil"/>
            </w:tcBorders>
          </w:tcPr>
          <w:p w:rsidR="00C6560F" w:rsidRDefault="00C6560F" w:rsidP="00DB470A">
            <w:pPr>
              <w:numPr>
                <w:ilvl w:val="12"/>
                <w:numId w:val="0"/>
              </w:numPr>
              <w:spacing w:before="20" w:after="20"/>
              <w:ind w:right="-11"/>
              <w:jc w:val="center"/>
              <w:rPr>
                <w:b/>
              </w:rPr>
            </w:pPr>
            <w:r>
              <w:t>1</w:t>
            </w:r>
          </w:p>
        </w:tc>
        <w:tc>
          <w:tcPr>
            <w:tcW w:w="2835" w:type="dxa"/>
            <w:tcBorders>
              <w:top w:val="nil"/>
            </w:tcBorders>
          </w:tcPr>
          <w:p w:rsidR="00C6560F" w:rsidRDefault="00C6560F" w:rsidP="00DB470A">
            <w:pPr>
              <w:numPr>
                <w:ilvl w:val="12"/>
                <w:numId w:val="0"/>
              </w:numPr>
              <w:spacing w:before="20" w:after="20"/>
              <w:ind w:right="-11"/>
              <w:rPr>
                <w:b/>
              </w:rPr>
            </w:pPr>
            <w:r>
              <w:t>Szerokość podbudowy</w:t>
            </w:r>
          </w:p>
        </w:tc>
        <w:tc>
          <w:tcPr>
            <w:tcW w:w="4252" w:type="dxa"/>
            <w:tcBorders>
              <w:top w:val="nil"/>
            </w:tcBorders>
          </w:tcPr>
          <w:p w:rsidR="00C6560F" w:rsidRDefault="00C6560F" w:rsidP="00DB470A">
            <w:pPr>
              <w:numPr>
                <w:ilvl w:val="12"/>
                <w:numId w:val="0"/>
              </w:numPr>
              <w:spacing w:before="20" w:after="20"/>
              <w:ind w:right="-11"/>
              <w:rPr>
                <w:b/>
              </w:rPr>
            </w:pPr>
            <w:r>
              <w:t xml:space="preserve">10 razy na </w:t>
            </w:r>
            <w:smartTag w:uri="urn:schemas-microsoft-com:office:smarttags" w:element="metricconverter">
              <w:smartTagPr>
                <w:attr w:name="ProductID" w:val="1 km"/>
              </w:smartTagPr>
              <w:r>
                <w:t>1 km</w:t>
              </w:r>
            </w:smartTag>
          </w:p>
        </w:tc>
      </w:tr>
      <w:tr w:rsidR="00C6560F">
        <w:tc>
          <w:tcPr>
            <w:tcW w:w="496" w:type="dxa"/>
          </w:tcPr>
          <w:p w:rsidR="00C6560F" w:rsidRDefault="00C6560F" w:rsidP="00DB470A">
            <w:pPr>
              <w:numPr>
                <w:ilvl w:val="12"/>
                <w:numId w:val="0"/>
              </w:numPr>
              <w:spacing w:before="120" w:after="60"/>
              <w:ind w:right="-11"/>
              <w:jc w:val="center"/>
              <w:rPr>
                <w:b/>
              </w:rPr>
            </w:pPr>
            <w:r>
              <w:t>2</w:t>
            </w:r>
          </w:p>
        </w:tc>
        <w:tc>
          <w:tcPr>
            <w:tcW w:w="2835" w:type="dxa"/>
          </w:tcPr>
          <w:p w:rsidR="00C6560F" w:rsidRDefault="00C6560F" w:rsidP="00DB470A">
            <w:pPr>
              <w:numPr>
                <w:ilvl w:val="12"/>
                <w:numId w:val="0"/>
              </w:numPr>
              <w:spacing w:before="120" w:after="60"/>
              <w:ind w:right="-11"/>
              <w:rPr>
                <w:b/>
              </w:rPr>
            </w:pPr>
            <w:r>
              <w:t>Równość podłużna</w:t>
            </w:r>
          </w:p>
        </w:tc>
        <w:tc>
          <w:tcPr>
            <w:tcW w:w="4252" w:type="dxa"/>
          </w:tcPr>
          <w:p w:rsidR="00C6560F" w:rsidRDefault="00C6560F" w:rsidP="00DB470A">
            <w:pPr>
              <w:numPr>
                <w:ilvl w:val="12"/>
                <w:numId w:val="0"/>
              </w:numPr>
              <w:ind w:right="-11"/>
              <w:rPr>
                <w:b/>
              </w:rPr>
            </w:pPr>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w:t>
            </w:r>
          </w:p>
          <w:p w:rsidR="00C6560F" w:rsidRDefault="00C6560F" w:rsidP="00DB470A">
            <w:pPr>
              <w:numPr>
                <w:ilvl w:val="12"/>
                <w:numId w:val="0"/>
              </w:numPr>
              <w:ind w:right="-11"/>
              <w:rPr>
                <w:b/>
              </w:rPr>
            </w:pPr>
            <w:r>
              <w:t>na każdym pasie ruchu</w:t>
            </w:r>
          </w:p>
        </w:tc>
      </w:tr>
      <w:tr w:rsidR="00C6560F">
        <w:tc>
          <w:tcPr>
            <w:tcW w:w="496" w:type="dxa"/>
          </w:tcPr>
          <w:p w:rsidR="00C6560F" w:rsidRDefault="00C6560F" w:rsidP="00DB470A">
            <w:pPr>
              <w:numPr>
                <w:ilvl w:val="12"/>
                <w:numId w:val="0"/>
              </w:numPr>
              <w:spacing w:before="20" w:after="20"/>
              <w:ind w:right="-11"/>
              <w:jc w:val="center"/>
              <w:rPr>
                <w:b/>
              </w:rPr>
            </w:pPr>
            <w:r>
              <w:t>3</w:t>
            </w:r>
          </w:p>
        </w:tc>
        <w:tc>
          <w:tcPr>
            <w:tcW w:w="2835" w:type="dxa"/>
          </w:tcPr>
          <w:p w:rsidR="00C6560F" w:rsidRDefault="00C6560F" w:rsidP="00DB470A">
            <w:pPr>
              <w:numPr>
                <w:ilvl w:val="12"/>
                <w:numId w:val="0"/>
              </w:numPr>
              <w:spacing w:before="20" w:after="20"/>
              <w:ind w:right="-11"/>
              <w:rPr>
                <w:b/>
              </w:rPr>
            </w:pPr>
            <w:r>
              <w:t>Równość poprzeczna</w:t>
            </w:r>
          </w:p>
        </w:tc>
        <w:tc>
          <w:tcPr>
            <w:tcW w:w="4252" w:type="dxa"/>
          </w:tcPr>
          <w:p w:rsidR="00C6560F" w:rsidRDefault="00C6560F" w:rsidP="00DB470A">
            <w:pPr>
              <w:numPr>
                <w:ilvl w:val="12"/>
                <w:numId w:val="0"/>
              </w:numPr>
              <w:spacing w:before="20" w:after="20"/>
              <w:ind w:right="-11"/>
              <w:rPr>
                <w:b/>
              </w:rPr>
            </w:pPr>
            <w:r>
              <w:t xml:space="preserve">10 razy na </w:t>
            </w:r>
            <w:smartTag w:uri="urn:schemas-microsoft-com:office:smarttags" w:element="metricconverter">
              <w:smartTagPr>
                <w:attr w:name="ProductID" w:val="1 km"/>
              </w:smartTagPr>
              <w:r>
                <w:t>1 km</w:t>
              </w:r>
            </w:smartTag>
          </w:p>
        </w:tc>
      </w:tr>
      <w:tr w:rsidR="00C6560F">
        <w:tc>
          <w:tcPr>
            <w:tcW w:w="496" w:type="dxa"/>
          </w:tcPr>
          <w:p w:rsidR="00C6560F" w:rsidRDefault="00C6560F" w:rsidP="00DB470A">
            <w:pPr>
              <w:numPr>
                <w:ilvl w:val="12"/>
                <w:numId w:val="0"/>
              </w:numPr>
              <w:spacing w:before="20" w:after="20"/>
              <w:ind w:right="-14"/>
              <w:jc w:val="center"/>
              <w:rPr>
                <w:b/>
              </w:rPr>
            </w:pPr>
            <w:r>
              <w:t>4</w:t>
            </w:r>
          </w:p>
        </w:tc>
        <w:tc>
          <w:tcPr>
            <w:tcW w:w="2835" w:type="dxa"/>
          </w:tcPr>
          <w:p w:rsidR="00C6560F" w:rsidRDefault="00C6560F" w:rsidP="00DB470A">
            <w:pPr>
              <w:numPr>
                <w:ilvl w:val="12"/>
                <w:numId w:val="0"/>
              </w:numPr>
              <w:spacing w:before="20" w:after="20"/>
              <w:ind w:right="-14"/>
              <w:rPr>
                <w:b/>
              </w:rPr>
            </w:pPr>
            <w:r>
              <w:t>Spadki poprzeczne*</w:t>
            </w:r>
            <w:r>
              <w:rPr>
                <w:vertAlign w:val="superscript"/>
              </w:rPr>
              <w:t>)</w:t>
            </w:r>
          </w:p>
        </w:tc>
        <w:tc>
          <w:tcPr>
            <w:tcW w:w="4252" w:type="dxa"/>
            <w:tcBorders>
              <w:bottom w:val="nil"/>
            </w:tcBorders>
          </w:tcPr>
          <w:p w:rsidR="00C6560F" w:rsidRDefault="00C6560F" w:rsidP="00DB470A">
            <w:pPr>
              <w:numPr>
                <w:ilvl w:val="12"/>
                <w:numId w:val="0"/>
              </w:numPr>
              <w:spacing w:before="20" w:after="20"/>
              <w:ind w:right="-14"/>
              <w:rPr>
                <w:b/>
              </w:rPr>
            </w:pPr>
            <w:r>
              <w:t xml:space="preserve">10 razy na </w:t>
            </w:r>
            <w:smartTag w:uri="urn:schemas-microsoft-com:office:smarttags" w:element="metricconverter">
              <w:smartTagPr>
                <w:attr w:name="ProductID" w:val="1 km"/>
              </w:smartTagPr>
              <w:r>
                <w:t>1 km</w:t>
              </w:r>
            </w:smartTag>
          </w:p>
        </w:tc>
      </w:tr>
      <w:tr w:rsidR="00C6560F">
        <w:tc>
          <w:tcPr>
            <w:tcW w:w="496" w:type="dxa"/>
          </w:tcPr>
          <w:p w:rsidR="00C6560F" w:rsidRDefault="00C6560F" w:rsidP="00DB470A">
            <w:pPr>
              <w:numPr>
                <w:ilvl w:val="12"/>
                <w:numId w:val="0"/>
              </w:numPr>
              <w:spacing w:before="20" w:after="20"/>
              <w:ind w:right="-11"/>
              <w:jc w:val="center"/>
              <w:rPr>
                <w:b/>
              </w:rPr>
            </w:pPr>
            <w:r>
              <w:t>5</w:t>
            </w:r>
          </w:p>
        </w:tc>
        <w:tc>
          <w:tcPr>
            <w:tcW w:w="2835" w:type="dxa"/>
          </w:tcPr>
          <w:p w:rsidR="00C6560F" w:rsidRDefault="00C6560F" w:rsidP="00DB470A">
            <w:pPr>
              <w:numPr>
                <w:ilvl w:val="12"/>
                <w:numId w:val="0"/>
              </w:numPr>
              <w:spacing w:before="20" w:after="20"/>
              <w:ind w:right="-11"/>
              <w:rPr>
                <w:b/>
              </w:rPr>
            </w:pPr>
            <w:r>
              <w:t>Rzędne wysokościowe</w:t>
            </w:r>
          </w:p>
        </w:tc>
        <w:tc>
          <w:tcPr>
            <w:tcW w:w="4252" w:type="dxa"/>
            <w:tcBorders>
              <w:bottom w:val="nil"/>
            </w:tcBorders>
          </w:tcPr>
          <w:p w:rsidR="00C6560F" w:rsidRDefault="00C6560F" w:rsidP="00DB470A">
            <w:pPr>
              <w:numPr>
                <w:ilvl w:val="12"/>
                <w:numId w:val="0"/>
              </w:numPr>
              <w:spacing w:before="20" w:after="20"/>
              <w:ind w:right="-11"/>
            </w:pPr>
            <w:r>
              <w:t xml:space="preserve">Dla autostrad i dróg ekspresowych co </w:t>
            </w:r>
            <w:smartTag w:uri="urn:schemas-microsoft-com:office:smarttags" w:element="metricconverter">
              <w:smartTagPr>
                <w:attr w:name="ProductID" w:val="25 m"/>
              </w:smartTagPr>
              <w:r>
                <w:t>25 m</w:t>
              </w:r>
            </w:smartTag>
            <w:r>
              <w:t>,</w:t>
            </w:r>
          </w:p>
        </w:tc>
      </w:tr>
      <w:tr w:rsidR="00C6560F">
        <w:tc>
          <w:tcPr>
            <w:tcW w:w="496" w:type="dxa"/>
          </w:tcPr>
          <w:p w:rsidR="00C6560F" w:rsidRDefault="00C6560F" w:rsidP="00DB470A">
            <w:pPr>
              <w:numPr>
                <w:ilvl w:val="12"/>
                <w:numId w:val="0"/>
              </w:numPr>
              <w:spacing w:before="20" w:after="20"/>
              <w:ind w:right="-14"/>
              <w:jc w:val="center"/>
              <w:rPr>
                <w:b/>
              </w:rPr>
            </w:pPr>
            <w:r>
              <w:t>6</w:t>
            </w:r>
          </w:p>
        </w:tc>
        <w:tc>
          <w:tcPr>
            <w:tcW w:w="2835" w:type="dxa"/>
          </w:tcPr>
          <w:p w:rsidR="00C6560F" w:rsidRDefault="00C6560F" w:rsidP="00DB470A">
            <w:pPr>
              <w:numPr>
                <w:ilvl w:val="12"/>
                <w:numId w:val="0"/>
              </w:numPr>
              <w:spacing w:before="20" w:after="20"/>
              <w:ind w:right="-14"/>
              <w:rPr>
                <w:b/>
              </w:rPr>
            </w:pPr>
            <w:r>
              <w:t>Ukształtowanie osi w planie*</w:t>
            </w:r>
            <w:r>
              <w:rPr>
                <w:vertAlign w:val="superscript"/>
              </w:rPr>
              <w:t>)</w:t>
            </w:r>
          </w:p>
        </w:tc>
        <w:tc>
          <w:tcPr>
            <w:tcW w:w="4252" w:type="dxa"/>
            <w:tcBorders>
              <w:top w:val="nil"/>
            </w:tcBorders>
          </w:tcPr>
          <w:p w:rsidR="00C6560F" w:rsidRDefault="00C6560F" w:rsidP="00DB470A">
            <w:pPr>
              <w:numPr>
                <w:ilvl w:val="12"/>
                <w:numId w:val="0"/>
              </w:numPr>
              <w:spacing w:before="20" w:after="20"/>
              <w:ind w:right="-11"/>
              <w:jc w:val="left"/>
              <w:rPr>
                <w:b/>
              </w:rPr>
            </w:pPr>
            <w:r>
              <w:t xml:space="preserve">dla pozostałych dróg co </w:t>
            </w:r>
            <w:smartTag w:uri="urn:schemas-microsoft-com:office:smarttags" w:element="metricconverter">
              <w:smartTagPr>
                <w:attr w:name="ProductID" w:val="100 m"/>
              </w:smartTagPr>
              <w:r>
                <w:t>100 m</w:t>
              </w:r>
            </w:smartTag>
          </w:p>
        </w:tc>
      </w:tr>
      <w:tr w:rsidR="00C6560F">
        <w:tc>
          <w:tcPr>
            <w:tcW w:w="496" w:type="dxa"/>
          </w:tcPr>
          <w:p w:rsidR="00C6560F" w:rsidRDefault="00C6560F" w:rsidP="00DB470A">
            <w:pPr>
              <w:numPr>
                <w:ilvl w:val="12"/>
                <w:numId w:val="0"/>
              </w:numPr>
              <w:spacing w:before="20" w:after="20"/>
              <w:ind w:right="-11"/>
              <w:jc w:val="center"/>
              <w:rPr>
                <w:b/>
              </w:rPr>
            </w:pPr>
            <w:r>
              <w:t>7</w:t>
            </w:r>
          </w:p>
        </w:tc>
        <w:tc>
          <w:tcPr>
            <w:tcW w:w="2835" w:type="dxa"/>
          </w:tcPr>
          <w:p w:rsidR="00C6560F" w:rsidRDefault="00C6560F" w:rsidP="00DB470A">
            <w:pPr>
              <w:numPr>
                <w:ilvl w:val="12"/>
                <w:numId w:val="0"/>
              </w:numPr>
              <w:spacing w:before="20" w:after="20"/>
              <w:ind w:right="-11"/>
              <w:rPr>
                <w:b/>
              </w:rPr>
            </w:pPr>
            <w:r>
              <w:t>Grubość podbudowy</w:t>
            </w:r>
          </w:p>
        </w:tc>
        <w:tc>
          <w:tcPr>
            <w:tcW w:w="4252" w:type="dxa"/>
          </w:tcPr>
          <w:p w:rsidR="00C6560F" w:rsidRDefault="00C6560F" w:rsidP="00DB470A">
            <w:pPr>
              <w:numPr>
                <w:ilvl w:val="12"/>
                <w:numId w:val="0"/>
              </w:numPr>
              <w:spacing w:before="20" w:after="20"/>
              <w:ind w:right="-11"/>
              <w:rPr>
                <w:b/>
              </w:rPr>
            </w:pPr>
            <w:r>
              <w:t xml:space="preserve">w 3 punktach, lecz nie rzadziej niż raz na </w:t>
            </w:r>
            <w:smartTag w:uri="urn:schemas-microsoft-com:office:smarttags" w:element="metricconverter">
              <w:smartTagPr>
                <w:attr w:name="ProductID" w:val="100 m"/>
              </w:smartTagPr>
              <w:r>
                <w:t>100 m</w:t>
              </w:r>
            </w:smartTag>
          </w:p>
        </w:tc>
      </w:tr>
    </w:tbl>
    <w:p w:rsidR="00C6560F" w:rsidRDefault="00C6560F" w:rsidP="00DB470A">
      <w:pPr>
        <w:numPr>
          <w:ilvl w:val="12"/>
          <w:numId w:val="0"/>
        </w:numPr>
        <w:spacing w:before="60"/>
      </w:pPr>
      <w:r>
        <w:t>*) Dodatkowe pomiary spadków poprzecznych i ukształtowanie osi w planie należy wykonać w punktach głównych łuków poziomych.</w:t>
      </w:r>
    </w:p>
    <w:p w:rsidR="00C6560F" w:rsidRDefault="00C6560F" w:rsidP="00DB470A">
      <w:pPr>
        <w:keepNext/>
        <w:numPr>
          <w:ilvl w:val="12"/>
          <w:numId w:val="0"/>
        </w:numPr>
        <w:spacing w:before="120" w:after="120"/>
        <w:ind w:right="-11"/>
      </w:pPr>
      <w:r>
        <w:rPr>
          <w:b/>
        </w:rPr>
        <w:t xml:space="preserve">6.4.2. </w:t>
      </w:r>
      <w:r>
        <w:t>Szerokość podbudowy</w:t>
      </w:r>
    </w:p>
    <w:p w:rsidR="00C6560F" w:rsidRDefault="00C6560F" w:rsidP="00DB470A">
      <w:pPr>
        <w:numPr>
          <w:ilvl w:val="12"/>
          <w:numId w:val="0"/>
        </w:numPr>
        <w:ind w:right="-11"/>
      </w:pPr>
      <w:r>
        <w:tab/>
        <w:t>Szerokość podbudowy powinna być zgodna z dokumentacją projektową z tolerancją +</w:t>
      </w:r>
      <w:smartTag w:uri="urn:schemas-microsoft-com:office:smarttags" w:element="metricconverter">
        <w:smartTagPr>
          <w:attr w:name="ProductID" w:val="10 cm"/>
        </w:smartTagPr>
        <w:r>
          <w:t>10 cm</w:t>
        </w:r>
      </w:smartTag>
      <w:r>
        <w:t xml:space="preserve">, </w:t>
      </w:r>
      <w:r>
        <w:sym w:font="Symbol" w:char="F02D"/>
      </w:r>
      <w:r>
        <w:t xml:space="preserve">5 </w:t>
      </w:r>
      <w:proofErr w:type="spellStart"/>
      <w:r>
        <w:t>cm</w:t>
      </w:r>
      <w:proofErr w:type="spellEnd"/>
      <w:r>
        <w:t>.</w:t>
      </w:r>
    </w:p>
    <w:p w:rsidR="00C6560F" w:rsidRDefault="00C6560F" w:rsidP="00DB470A">
      <w:pPr>
        <w:numPr>
          <w:ilvl w:val="12"/>
          <w:numId w:val="0"/>
        </w:numPr>
      </w:pPr>
      <w:r>
        <w:tab/>
        <w:t xml:space="preserve">Na jezdniach bez krawężników szerokość podbudowy powinna być większa o co najmniej </w:t>
      </w:r>
      <w:smartTag w:uri="urn:schemas-microsoft-com:office:smarttags" w:element="metricconverter">
        <w:smartTagPr>
          <w:attr w:name="ProductID" w:val="25 cm"/>
        </w:smartTagPr>
        <w:r>
          <w:t>25 cm</w:t>
        </w:r>
      </w:smartTag>
      <w:r>
        <w:t xml:space="preserve"> od szerokości warstwy na niej układanej lub o wartość wskazaną w dokumentacji projektowej.</w:t>
      </w:r>
    </w:p>
    <w:p w:rsidR="00C6560F" w:rsidRDefault="00C6560F" w:rsidP="00DB470A">
      <w:pPr>
        <w:numPr>
          <w:ilvl w:val="12"/>
          <w:numId w:val="0"/>
        </w:numPr>
        <w:spacing w:before="120" w:after="120"/>
        <w:ind w:right="-11"/>
      </w:pPr>
      <w:r>
        <w:rPr>
          <w:b/>
        </w:rPr>
        <w:t xml:space="preserve">6.4.3. </w:t>
      </w:r>
      <w:r>
        <w:t>Równość podbudowy</w:t>
      </w:r>
    </w:p>
    <w:p w:rsidR="00C6560F" w:rsidRDefault="00C6560F" w:rsidP="00DB470A">
      <w:pPr>
        <w:numPr>
          <w:ilvl w:val="12"/>
          <w:numId w:val="0"/>
        </w:numPr>
        <w:ind w:right="-11"/>
      </w:pPr>
      <w:r>
        <w:tab/>
        <w:t xml:space="preserve">Nierówności podłużne podbudowy należy mierzyć 4-metrową łatą lub </w:t>
      </w:r>
      <w:proofErr w:type="spellStart"/>
      <w:r>
        <w:t>planografem</w:t>
      </w:r>
      <w:proofErr w:type="spellEnd"/>
      <w:r>
        <w:t xml:space="preserve">, zgodnie z normą BN-68/8931-04 [23]. </w:t>
      </w:r>
    </w:p>
    <w:p w:rsidR="00C6560F" w:rsidRDefault="00C6560F" w:rsidP="00DB470A">
      <w:pPr>
        <w:numPr>
          <w:ilvl w:val="12"/>
          <w:numId w:val="0"/>
        </w:numPr>
        <w:ind w:right="-11"/>
      </w:pPr>
      <w:r>
        <w:tab/>
        <w:t xml:space="preserve">Nierówności poprzeczne podbudowy należy mierzyć 4-metrową łatą. </w:t>
      </w:r>
    </w:p>
    <w:p w:rsidR="00C6560F" w:rsidRDefault="00C6560F" w:rsidP="00DB470A">
      <w:pPr>
        <w:numPr>
          <w:ilvl w:val="12"/>
          <w:numId w:val="0"/>
        </w:numPr>
        <w:ind w:right="-11"/>
      </w:pPr>
      <w:r>
        <w:tab/>
        <w:t>Nierówności podbudowy nie mogą przekraczać:</w:t>
      </w:r>
    </w:p>
    <w:p w:rsidR="00C6560F" w:rsidRDefault="00C6560F" w:rsidP="00DB470A">
      <w:pPr>
        <w:numPr>
          <w:ilvl w:val="0"/>
          <w:numId w:val="1"/>
        </w:numPr>
        <w:ind w:left="0" w:right="-11" w:firstLine="0"/>
      </w:pPr>
      <w:smartTag w:uri="urn:schemas-microsoft-com:office:smarttags" w:element="metricconverter">
        <w:smartTagPr>
          <w:attr w:name="ProductID" w:val="9 mm"/>
        </w:smartTagPr>
        <w:r>
          <w:t>9 mm</w:t>
        </w:r>
      </w:smartTag>
      <w:r>
        <w:t xml:space="preserve"> dla podbudowy zasadniczej,</w:t>
      </w:r>
    </w:p>
    <w:p w:rsidR="00C6560F" w:rsidRDefault="00C6560F" w:rsidP="00DB470A">
      <w:pPr>
        <w:numPr>
          <w:ilvl w:val="0"/>
          <w:numId w:val="1"/>
        </w:numPr>
        <w:ind w:left="0" w:right="-11" w:firstLine="0"/>
      </w:pPr>
      <w:smartTag w:uri="urn:schemas-microsoft-com:office:smarttags" w:element="metricconverter">
        <w:smartTagPr>
          <w:attr w:name="ProductID" w:val="15 mm"/>
        </w:smartTagPr>
        <w:r>
          <w:t>15 mm</w:t>
        </w:r>
      </w:smartTag>
      <w:r>
        <w:t xml:space="preserve"> dla podbudowy pomocniczej.</w:t>
      </w:r>
    </w:p>
    <w:p w:rsidR="00C6560F" w:rsidRDefault="00C6560F" w:rsidP="00DB470A">
      <w:pPr>
        <w:numPr>
          <w:ilvl w:val="12"/>
          <w:numId w:val="0"/>
        </w:numPr>
        <w:spacing w:before="120" w:after="120"/>
        <w:ind w:right="-11"/>
      </w:pPr>
      <w:r>
        <w:rPr>
          <w:b/>
        </w:rPr>
        <w:t xml:space="preserve">6.4.4. </w:t>
      </w:r>
      <w:r>
        <w:t>Spadki poprzeczne podbudowy</w:t>
      </w:r>
    </w:p>
    <w:p w:rsidR="00C6560F" w:rsidRDefault="00C6560F" w:rsidP="00DB470A">
      <w:pPr>
        <w:numPr>
          <w:ilvl w:val="12"/>
          <w:numId w:val="0"/>
        </w:numPr>
        <w:ind w:right="-11"/>
      </w:pPr>
      <w:r>
        <w:tab/>
        <w:t xml:space="preserve">Spadki poprzeczne podbudowy na prostych i łukach powinny być zgodne z dokumentacją projektową z tolerancją </w:t>
      </w:r>
      <w:r>
        <w:sym w:font="Symbol" w:char="F0B1"/>
      </w:r>
      <w:r>
        <w:t xml:space="preserve"> 0,5 %.</w:t>
      </w:r>
    </w:p>
    <w:p w:rsidR="00C6560F" w:rsidRDefault="00C6560F" w:rsidP="00DB470A">
      <w:pPr>
        <w:numPr>
          <w:ilvl w:val="12"/>
          <w:numId w:val="0"/>
        </w:numPr>
        <w:spacing w:before="120" w:after="120"/>
        <w:ind w:right="-11"/>
      </w:pPr>
      <w:r>
        <w:rPr>
          <w:b/>
        </w:rPr>
        <w:t xml:space="preserve">6.4.5. </w:t>
      </w:r>
      <w:r>
        <w:t>Rzędne wysokościowe podbudowy</w:t>
      </w:r>
    </w:p>
    <w:p w:rsidR="00C6560F" w:rsidRDefault="00C6560F" w:rsidP="00DB470A">
      <w:pPr>
        <w:numPr>
          <w:ilvl w:val="12"/>
          <w:numId w:val="0"/>
        </w:numPr>
        <w:ind w:right="-11"/>
      </w:pPr>
      <w:r>
        <w:tab/>
        <w:t>Rzędne wysokościowe podbudowy powinny być zgodne z dokumentacją projektową z tolerancją +</w:t>
      </w:r>
      <w:smartTag w:uri="urn:schemas-microsoft-com:office:smarttags" w:element="metricconverter">
        <w:smartTagPr>
          <w:attr w:name="ProductID" w:val="1 cm"/>
        </w:smartTagPr>
        <w:r>
          <w:t>1 cm</w:t>
        </w:r>
      </w:smartTag>
      <w:r>
        <w:t xml:space="preserve">, </w:t>
      </w:r>
      <w:r>
        <w:sym w:font="Symbol" w:char="F02D"/>
      </w:r>
      <w:r>
        <w:t xml:space="preserve">2 </w:t>
      </w:r>
      <w:proofErr w:type="spellStart"/>
      <w:r>
        <w:t>cm</w:t>
      </w:r>
      <w:proofErr w:type="spellEnd"/>
      <w:r>
        <w:t>.</w:t>
      </w:r>
    </w:p>
    <w:p w:rsidR="00C6560F" w:rsidRDefault="00C6560F" w:rsidP="00DB470A">
      <w:pPr>
        <w:numPr>
          <w:ilvl w:val="12"/>
          <w:numId w:val="0"/>
        </w:numPr>
        <w:spacing w:before="120" w:after="120"/>
        <w:ind w:right="-11"/>
      </w:pPr>
      <w:r>
        <w:rPr>
          <w:b/>
        </w:rPr>
        <w:t xml:space="preserve">6.4.6. </w:t>
      </w:r>
      <w:r>
        <w:t>Ukształtowanie osi w planie</w:t>
      </w:r>
    </w:p>
    <w:p w:rsidR="00C6560F" w:rsidRDefault="00C6560F" w:rsidP="00DB470A">
      <w:pPr>
        <w:numPr>
          <w:ilvl w:val="12"/>
          <w:numId w:val="0"/>
        </w:numPr>
        <w:ind w:right="-11"/>
      </w:pPr>
      <w:r>
        <w:tab/>
        <w:t xml:space="preserve">Oś podbudowy w planie powinna być zgodna z dokumentacją projektową z tolerancją </w:t>
      </w:r>
      <w:r>
        <w:sym w:font="Symbol" w:char="F0B1"/>
      </w:r>
      <w:r>
        <w:t xml:space="preserve"> </w:t>
      </w:r>
      <w:smartTag w:uri="urn:schemas-microsoft-com:office:smarttags" w:element="metricconverter">
        <w:smartTagPr>
          <w:attr w:name="ProductID" w:val="3 cm"/>
        </w:smartTagPr>
        <w:r>
          <w:t>3 cm</w:t>
        </w:r>
      </w:smartTag>
      <w:r>
        <w:t xml:space="preserve"> dla autostrad i dróg ekspresowych i </w:t>
      </w:r>
      <w:r>
        <w:sym w:font="Symbol" w:char="F0B1"/>
      </w:r>
      <w:r>
        <w:t xml:space="preserve"> </w:t>
      </w:r>
      <w:smartTag w:uri="urn:schemas-microsoft-com:office:smarttags" w:element="metricconverter">
        <w:smartTagPr>
          <w:attr w:name="ProductID" w:val="5 cm"/>
        </w:smartTagPr>
        <w:r>
          <w:t>5 cm</w:t>
        </w:r>
      </w:smartTag>
      <w:r>
        <w:t xml:space="preserve"> dla pozostałych dróg.</w:t>
      </w:r>
    </w:p>
    <w:p w:rsidR="00C6560F" w:rsidRDefault="00C6560F" w:rsidP="00DB470A">
      <w:pPr>
        <w:numPr>
          <w:ilvl w:val="12"/>
          <w:numId w:val="0"/>
        </w:numPr>
        <w:spacing w:before="120" w:after="120"/>
        <w:ind w:right="-11"/>
      </w:pPr>
      <w:r>
        <w:rPr>
          <w:b/>
        </w:rPr>
        <w:t xml:space="preserve">6.4.7. </w:t>
      </w:r>
      <w:r>
        <w:t>Grubość podbudowy</w:t>
      </w:r>
    </w:p>
    <w:p w:rsidR="00C6560F" w:rsidRDefault="00C6560F" w:rsidP="00DB470A">
      <w:pPr>
        <w:numPr>
          <w:ilvl w:val="12"/>
          <w:numId w:val="0"/>
        </w:numPr>
        <w:ind w:right="-11"/>
      </w:pPr>
      <w:r>
        <w:lastRenderedPageBreak/>
        <w:tab/>
        <w:t>Grubość podbudowy powinna być zgodna z dokumentacją projektową z tolerancją:</w:t>
      </w:r>
    </w:p>
    <w:p w:rsidR="00C6560F" w:rsidRDefault="00C6560F" w:rsidP="00DB470A">
      <w:pPr>
        <w:numPr>
          <w:ilvl w:val="0"/>
          <w:numId w:val="1"/>
        </w:numPr>
        <w:ind w:left="0" w:right="-11" w:firstLine="0"/>
      </w:pPr>
      <w:r>
        <w:t xml:space="preserve">dla podbudowy zasadniczej </w:t>
      </w:r>
      <w:r>
        <w:sym w:font="Symbol" w:char="F0B1"/>
      </w:r>
      <w:r>
        <w:t xml:space="preserve"> </w:t>
      </w:r>
      <w:smartTag w:uri="urn:schemas-microsoft-com:office:smarttags" w:element="metricconverter">
        <w:smartTagPr>
          <w:attr w:name="ProductID" w:val="1 cm"/>
        </w:smartTagPr>
        <w:r>
          <w:t>1 cm</w:t>
        </w:r>
      </w:smartTag>
      <w:r>
        <w:t>,</w:t>
      </w:r>
    </w:p>
    <w:p w:rsidR="00C6560F" w:rsidRDefault="00C6560F" w:rsidP="00DB470A">
      <w:pPr>
        <w:numPr>
          <w:ilvl w:val="0"/>
          <w:numId w:val="1"/>
        </w:numPr>
        <w:ind w:left="0" w:firstLine="0"/>
      </w:pPr>
      <w:r>
        <w:t>dla podbudowy pomocniczej +</w:t>
      </w:r>
      <w:smartTag w:uri="urn:schemas-microsoft-com:office:smarttags" w:element="metricconverter">
        <w:smartTagPr>
          <w:attr w:name="ProductID" w:val="1 cm"/>
        </w:smartTagPr>
        <w:r>
          <w:t>1 cm</w:t>
        </w:r>
      </w:smartTag>
      <w:r>
        <w:t xml:space="preserve">, </w:t>
      </w:r>
      <w:r>
        <w:sym w:font="Symbol" w:char="F02D"/>
      </w:r>
      <w:r>
        <w:t xml:space="preserve">2 </w:t>
      </w:r>
      <w:proofErr w:type="spellStart"/>
      <w:r>
        <w:t>cm</w:t>
      </w:r>
      <w:proofErr w:type="spellEnd"/>
      <w:r>
        <w:t>.</w:t>
      </w:r>
    </w:p>
    <w:p w:rsidR="00C6560F" w:rsidRDefault="00C6560F" w:rsidP="00DB470A">
      <w:pPr>
        <w:pStyle w:val="Nagwek1"/>
        <w:numPr>
          <w:ilvl w:val="12"/>
          <w:numId w:val="0"/>
        </w:numPr>
      </w:pPr>
      <w:bookmarkStart w:id="19" w:name="_Toc418394443"/>
      <w:bookmarkStart w:id="20" w:name="_Toc423845944"/>
      <w:bookmarkStart w:id="21" w:name="_Toc32644951"/>
      <w:r>
        <w:t>7. OBMIAR ROBÓT</w:t>
      </w:r>
      <w:bookmarkEnd w:id="19"/>
      <w:bookmarkEnd w:id="20"/>
      <w:bookmarkEnd w:id="21"/>
    </w:p>
    <w:p w:rsidR="00C6560F" w:rsidRDefault="00C6560F" w:rsidP="00DB470A">
      <w:pPr>
        <w:pStyle w:val="Nagwek2"/>
        <w:numPr>
          <w:ilvl w:val="12"/>
          <w:numId w:val="0"/>
        </w:numPr>
      </w:pPr>
      <w:r>
        <w:t>7.1. Ogólne zasady obmiaru robót</w:t>
      </w:r>
    </w:p>
    <w:p w:rsidR="00C6560F" w:rsidRDefault="00C6560F" w:rsidP="00DB470A">
      <w:pPr>
        <w:numPr>
          <w:ilvl w:val="12"/>
          <w:numId w:val="0"/>
        </w:numPr>
        <w:ind w:right="-11"/>
      </w:pPr>
      <w:r>
        <w:tab/>
        <w:t xml:space="preserve">Ogólne zasady obmiaru robót podano w SST D-M-00.00.00 „Wymagania ogólne” </w:t>
      </w:r>
      <w:proofErr w:type="spellStart"/>
      <w:r>
        <w:t>pkt</w:t>
      </w:r>
      <w:proofErr w:type="spellEnd"/>
      <w:r>
        <w:t xml:space="preserve"> 7.</w:t>
      </w:r>
    </w:p>
    <w:p w:rsidR="00C6560F" w:rsidRDefault="00C6560F" w:rsidP="00DB470A">
      <w:pPr>
        <w:pStyle w:val="Nagwek2"/>
        <w:numPr>
          <w:ilvl w:val="12"/>
          <w:numId w:val="0"/>
        </w:numPr>
      </w:pPr>
      <w:r>
        <w:t>7.2. Jednostka obmiarowa</w:t>
      </w:r>
    </w:p>
    <w:p w:rsidR="00C6560F" w:rsidRDefault="00C6560F" w:rsidP="00DB470A">
      <w:pPr>
        <w:numPr>
          <w:ilvl w:val="12"/>
          <w:numId w:val="0"/>
        </w:numPr>
        <w:ind w:right="-11"/>
      </w:pPr>
      <w:r>
        <w:tab/>
        <w:t>Jednostką obmiarową jest  m</w:t>
      </w:r>
      <w:r>
        <w:rPr>
          <w:vertAlign w:val="superscript"/>
        </w:rPr>
        <w:t>2</w:t>
      </w:r>
      <w:r>
        <w:t xml:space="preserve"> (metr kwadratowy) wykonanej podbudowy z chudego betonu.</w:t>
      </w:r>
    </w:p>
    <w:p w:rsidR="00C6560F" w:rsidRDefault="00C6560F" w:rsidP="00DB470A">
      <w:pPr>
        <w:pStyle w:val="Nagwek1"/>
        <w:numPr>
          <w:ilvl w:val="12"/>
          <w:numId w:val="0"/>
        </w:numPr>
      </w:pPr>
      <w:bookmarkStart w:id="22" w:name="_Toc418394444"/>
      <w:bookmarkStart w:id="23" w:name="_Toc423845945"/>
      <w:bookmarkStart w:id="24" w:name="_Toc32644952"/>
      <w:r>
        <w:t>8. ODBIÓR ROBÓT</w:t>
      </w:r>
      <w:bookmarkEnd w:id="22"/>
      <w:bookmarkEnd w:id="23"/>
      <w:bookmarkEnd w:id="24"/>
    </w:p>
    <w:p w:rsidR="00C6560F" w:rsidRDefault="00C6560F" w:rsidP="00DB470A">
      <w:pPr>
        <w:numPr>
          <w:ilvl w:val="12"/>
          <w:numId w:val="0"/>
        </w:numPr>
        <w:ind w:right="-11"/>
      </w:pPr>
      <w:r>
        <w:tab/>
        <w:t xml:space="preserve">Ogólne zasady odbioru robót podano w SST D-M-00.00.00 „Wymagania ogólne” </w:t>
      </w:r>
      <w:proofErr w:type="spellStart"/>
      <w:r>
        <w:t>pkt</w:t>
      </w:r>
      <w:proofErr w:type="spellEnd"/>
      <w:r>
        <w:t xml:space="preserve"> 8.</w:t>
      </w:r>
    </w:p>
    <w:p w:rsidR="00C6560F" w:rsidRDefault="00C6560F" w:rsidP="00DB470A">
      <w:pPr>
        <w:numPr>
          <w:ilvl w:val="12"/>
          <w:numId w:val="0"/>
        </w:numPr>
        <w:ind w:right="-11"/>
      </w:pPr>
      <w:r>
        <w:tab/>
        <w:t xml:space="preserve">Roboty uznaje się za zgodne z dokumentacją projektową, SST i wymaganiami Inżyniera, jeżeli wszystkie pomiary i badania z zachowaniem tolerancji wg </w:t>
      </w:r>
      <w:proofErr w:type="spellStart"/>
      <w:r>
        <w:t>pkt</w:t>
      </w:r>
      <w:proofErr w:type="spellEnd"/>
      <w:r>
        <w:t xml:space="preserve"> 6 dały wyniki pozytywne.</w:t>
      </w:r>
    </w:p>
    <w:p w:rsidR="00C6560F" w:rsidRDefault="00C6560F" w:rsidP="00DB470A">
      <w:pPr>
        <w:pStyle w:val="Nagwek1"/>
        <w:numPr>
          <w:ilvl w:val="12"/>
          <w:numId w:val="0"/>
        </w:numPr>
      </w:pPr>
      <w:bookmarkStart w:id="25" w:name="_Toc418394445"/>
      <w:bookmarkStart w:id="26" w:name="_Toc423845946"/>
      <w:bookmarkStart w:id="27" w:name="_Toc32644953"/>
      <w:r>
        <w:t>9. PODSTAWA PŁATNOŚCI</w:t>
      </w:r>
      <w:bookmarkEnd w:id="25"/>
      <w:bookmarkEnd w:id="26"/>
      <w:bookmarkEnd w:id="27"/>
    </w:p>
    <w:p w:rsidR="00C6560F" w:rsidRDefault="00C6560F" w:rsidP="00DB470A">
      <w:pPr>
        <w:pStyle w:val="Nagwek2"/>
        <w:numPr>
          <w:ilvl w:val="12"/>
          <w:numId w:val="0"/>
        </w:numPr>
      </w:pPr>
      <w:r>
        <w:t>9.1. Ogólne ustalenia dotyczące podstawy płatności</w:t>
      </w:r>
    </w:p>
    <w:p w:rsidR="00C6560F" w:rsidRDefault="00C6560F" w:rsidP="00DB470A">
      <w:pPr>
        <w:numPr>
          <w:ilvl w:val="12"/>
          <w:numId w:val="0"/>
        </w:numPr>
        <w:ind w:right="-11"/>
      </w:pPr>
      <w:r>
        <w:rPr>
          <w:b/>
        </w:rPr>
        <w:tab/>
      </w:r>
      <w:r>
        <w:t xml:space="preserve">Ogólne ustalenia dotyczące podstawy płatności podano w SST D-M-00.00.00 „Wymagania ogólne” </w:t>
      </w:r>
      <w:proofErr w:type="spellStart"/>
      <w:r>
        <w:t>pkt</w:t>
      </w:r>
      <w:proofErr w:type="spellEnd"/>
      <w:r>
        <w:t xml:space="preserve"> 9.</w:t>
      </w:r>
    </w:p>
    <w:p w:rsidR="00C6560F" w:rsidRDefault="00C6560F" w:rsidP="00DB470A">
      <w:pPr>
        <w:pStyle w:val="Nagwek2"/>
        <w:numPr>
          <w:ilvl w:val="12"/>
          <w:numId w:val="0"/>
        </w:numPr>
      </w:pPr>
      <w:r>
        <w:t>9.2. Cena jednostki obmiarowej</w:t>
      </w:r>
    </w:p>
    <w:p w:rsidR="00C6560F" w:rsidRDefault="00C6560F" w:rsidP="00DB470A">
      <w:pPr>
        <w:numPr>
          <w:ilvl w:val="12"/>
          <w:numId w:val="0"/>
        </w:numPr>
        <w:ind w:right="-11"/>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podbudowy z chudego betonu obejmuje:</w:t>
      </w:r>
    </w:p>
    <w:p w:rsidR="00C6560F" w:rsidRDefault="00C6560F" w:rsidP="00DB470A">
      <w:pPr>
        <w:numPr>
          <w:ilvl w:val="0"/>
          <w:numId w:val="1"/>
        </w:numPr>
        <w:ind w:left="283" w:right="-11"/>
      </w:pPr>
      <w:r>
        <w:t>prace pomiarowe i roboty przygotowawcze,</w:t>
      </w:r>
    </w:p>
    <w:p w:rsidR="00C6560F" w:rsidRDefault="00C6560F" w:rsidP="00DB470A">
      <w:pPr>
        <w:numPr>
          <w:ilvl w:val="0"/>
          <w:numId w:val="1"/>
        </w:numPr>
        <w:ind w:left="283" w:right="-11"/>
      </w:pPr>
      <w:r>
        <w:t>oznakowanie robót,</w:t>
      </w:r>
    </w:p>
    <w:p w:rsidR="00C6560F" w:rsidRDefault="00C6560F" w:rsidP="00DB470A">
      <w:pPr>
        <w:numPr>
          <w:ilvl w:val="0"/>
          <w:numId w:val="1"/>
        </w:numPr>
        <w:ind w:left="283" w:right="-11"/>
      </w:pPr>
      <w:r>
        <w:t xml:space="preserve">dostarczenie materiałów, </w:t>
      </w:r>
    </w:p>
    <w:p w:rsidR="00C6560F" w:rsidRDefault="00C6560F" w:rsidP="00DB470A">
      <w:pPr>
        <w:numPr>
          <w:ilvl w:val="0"/>
          <w:numId w:val="1"/>
        </w:numPr>
        <w:ind w:left="283" w:right="-11"/>
      </w:pPr>
      <w:r>
        <w:t>wyprodukowanie mieszanki,</w:t>
      </w:r>
    </w:p>
    <w:p w:rsidR="00C6560F" w:rsidRDefault="00C6560F" w:rsidP="00DB470A">
      <w:pPr>
        <w:numPr>
          <w:ilvl w:val="0"/>
          <w:numId w:val="1"/>
        </w:numPr>
        <w:ind w:left="283" w:right="-11"/>
      </w:pPr>
      <w:r>
        <w:t>transport na miejsce wbudowania,</w:t>
      </w:r>
    </w:p>
    <w:p w:rsidR="00C6560F" w:rsidRDefault="00C6560F" w:rsidP="00DB470A">
      <w:pPr>
        <w:numPr>
          <w:ilvl w:val="0"/>
          <w:numId w:val="1"/>
        </w:numPr>
        <w:ind w:left="283" w:right="-11"/>
      </w:pPr>
      <w:r>
        <w:t>przygotowanie podłoża,</w:t>
      </w:r>
    </w:p>
    <w:p w:rsidR="00C6560F" w:rsidRDefault="00C6560F" w:rsidP="00DB470A">
      <w:pPr>
        <w:numPr>
          <w:ilvl w:val="0"/>
          <w:numId w:val="1"/>
        </w:numPr>
        <w:ind w:left="283" w:right="-11"/>
      </w:pPr>
      <w:r>
        <w:t>dostarczenie, ustawienie, rozebranie i odwiezienie prowadnic oraz innych materiałów i urządzeń pomocniczych,</w:t>
      </w:r>
    </w:p>
    <w:p w:rsidR="00C6560F" w:rsidRDefault="00C6560F" w:rsidP="00DB470A">
      <w:pPr>
        <w:numPr>
          <w:ilvl w:val="0"/>
          <w:numId w:val="1"/>
        </w:numPr>
        <w:ind w:left="283" w:right="-11"/>
      </w:pPr>
      <w:r>
        <w:t>rozłożenie i zagęszczenie mieszanki,</w:t>
      </w:r>
    </w:p>
    <w:p w:rsidR="00C6560F" w:rsidRDefault="00C6560F" w:rsidP="00DB470A">
      <w:pPr>
        <w:numPr>
          <w:ilvl w:val="0"/>
          <w:numId w:val="1"/>
        </w:numPr>
        <w:ind w:left="283" w:right="-11"/>
      </w:pPr>
      <w:r>
        <w:t>ewentualne nacinanie szczelin,</w:t>
      </w:r>
    </w:p>
    <w:p w:rsidR="00C6560F" w:rsidRDefault="00C6560F" w:rsidP="00DB470A">
      <w:pPr>
        <w:numPr>
          <w:ilvl w:val="0"/>
          <w:numId w:val="1"/>
        </w:numPr>
        <w:ind w:left="283" w:right="-11"/>
      </w:pPr>
      <w:r>
        <w:t>pielęgnacja wykonanej podbudowy,</w:t>
      </w:r>
    </w:p>
    <w:p w:rsidR="00C6560F" w:rsidRDefault="00C6560F" w:rsidP="00DB470A">
      <w:pPr>
        <w:numPr>
          <w:ilvl w:val="0"/>
          <w:numId w:val="1"/>
        </w:numPr>
        <w:ind w:left="283"/>
      </w:pPr>
      <w:r>
        <w:t>przeprowadzenie pomiarów i badań laboratoryjnych, wymaganych w specyfikacji technicznej.</w:t>
      </w:r>
    </w:p>
    <w:p w:rsidR="00C6560F" w:rsidRDefault="00C6560F">
      <w:pPr>
        <w:pStyle w:val="Nagwek1"/>
      </w:pPr>
      <w:bookmarkStart w:id="28" w:name="_Toc423845947"/>
      <w:bookmarkStart w:id="29" w:name="_Toc32644954"/>
      <w:r>
        <w:t>10. przepisy związane</w:t>
      </w:r>
      <w:bookmarkEnd w:id="28"/>
      <w:bookmarkEnd w:id="29"/>
    </w:p>
    <w:p w:rsidR="00C6560F" w:rsidRDefault="00C6560F">
      <w:pPr>
        <w:pStyle w:val="Nagwek2"/>
      </w:pPr>
      <w:r>
        <w:t>10.1. Normy</w:t>
      </w:r>
    </w:p>
    <w:tbl>
      <w:tblPr>
        <w:tblW w:w="0" w:type="auto"/>
        <w:tblLayout w:type="fixed"/>
        <w:tblCellMar>
          <w:left w:w="70" w:type="dxa"/>
          <w:right w:w="70" w:type="dxa"/>
        </w:tblCellMar>
        <w:tblLook w:val="0000"/>
      </w:tblPr>
      <w:tblGrid>
        <w:gridCol w:w="496"/>
        <w:gridCol w:w="1984"/>
        <w:gridCol w:w="5029"/>
      </w:tblGrid>
      <w:tr w:rsidR="00C6560F">
        <w:tc>
          <w:tcPr>
            <w:tcW w:w="496" w:type="dxa"/>
          </w:tcPr>
          <w:p w:rsidR="00C6560F" w:rsidRDefault="00C6560F">
            <w:pPr>
              <w:jc w:val="center"/>
            </w:pPr>
            <w:r>
              <w:t>1.</w:t>
            </w:r>
          </w:p>
        </w:tc>
        <w:tc>
          <w:tcPr>
            <w:tcW w:w="1984" w:type="dxa"/>
          </w:tcPr>
          <w:p w:rsidR="00C6560F" w:rsidRDefault="00C6560F">
            <w:r>
              <w:t>PN-EN 196-1:1996</w:t>
            </w:r>
          </w:p>
        </w:tc>
        <w:tc>
          <w:tcPr>
            <w:tcW w:w="5029" w:type="dxa"/>
          </w:tcPr>
          <w:p w:rsidR="00C6560F" w:rsidRDefault="00C6560F">
            <w:r>
              <w:t>Metody badania cementu. Oznaczanie wytrzymałości</w:t>
            </w:r>
          </w:p>
        </w:tc>
      </w:tr>
      <w:tr w:rsidR="00C6560F">
        <w:tc>
          <w:tcPr>
            <w:tcW w:w="496" w:type="dxa"/>
          </w:tcPr>
          <w:p w:rsidR="00C6560F" w:rsidRDefault="00C6560F">
            <w:pPr>
              <w:jc w:val="center"/>
            </w:pPr>
            <w:r>
              <w:t>2.</w:t>
            </w:r>
          </w:p>
        </w:tc>
        <w:tc>
          <w:tcPr>
            <w:tcW w:w="1984" w:type="dxa"/>
          </w:tcPr>
          <w:p w:rsidR="00C6560F" w:rsidRDefault="00C6560F">
            <w:r>
              <w:t>PN-EN 196-2:1996</w:t>
            </w:r>
          </w:p>
        </w:tc>
        <w:tc>
          <w:tcPr>
            <w:tcW w:w="5029" w:type="dxa"/>
          </w:tcPr>
          <w:p w:rsidR="00C6560F" w:rsidRDefault="00C6560F">
            <w:r>
              <w:t>Metody badania cementu. Analiza chemiczna cementu</w:t>
            </w:r>
          </w:p>
        </w:tc>
      </w:tr>
      <w:tr w:rsidR="00C6560F">
        <w:tc>
          <w:tcPr>
            <w:tcW w:w="496" w:type="dxa"/>
          </w:tcPr>
          <w:p w:rsidR="00C6560F" w:rsidRDefault="00C6560F">
            <w:pPr>
              <w:jc w:val="center"/>
            </w:pPr>
            <w:r>
              <w:t>3.</w:t>
            </w:r>
          </w:p>
        </w:tc>
        <w:tc>
          <w:tcPr>
            <w:tcW w:w="1984" w:type="dxa"/>
          </w:tcPr>
          <w:p w:rsidR="00C6560F" w:rsidRDefault="00C6560F">
            <w:r>
              <w:t>PN-EN 196-3:1996</w:t>
            </w:r>
          </w:p>
        </w:tc>
        <w:tc>
          <w:tcPr>
            <w:tcW w:w="5029" w:type="dxa"/>
          </w:tcPr>
          <w:p w:rsidR="00C6560F" w:rsidRDefault="00C6560F">
            <w:r>
              <w:t>Metody badania cementu. Oznaczanie czasu wiązania               i stałości objętości</w:t>
            </w:r>
          </w:p>
        </w:tc>
      </w:tr>
      <w:tr w:rsidR="00C6560F">
        <w:tc>
          <w:tcPr>
            <w:tcW w:w="496" w:type="dxa"/>
          </w:tcPr>
          <w:p w:rsidR="00C6560F" w:rsidRDefault="00C6560F">
            <w:pPr>
              <w:jc w:val="center"/>
            </w:pPr>
            <w:r>
              <w:t>4.</w:t>
            </w:r>
          </w:p>
        </w:tc>
        <w:tc>
          <w:tcPr>
            <w:tcW w:w="1984" w:type="dxa"/>
          </w:tcPr>
          <w:p w:rsidR="00C6560F" w:rsidRDefault="00C6560F">
            <w:r>
              <w:t>PN-EN 196-6:1996</w:t>
            </w:r>
          </w:p>
        </w:tc>
        <w:tc>
          <w:tcPr>
            <w:tcW w:w="5029" w:type="dxa"/>
          </w:tcPr>
          <w:p w:rsidR="00C6560F" w:rsidRDefault="00C6560F">
            <w:r>
              <w:t>Metody badania cementu. Oznaczanie stopnia zmielenia</w:t>
            </w:r>
          </w:p>
        </w:tc>
      </w:tr>
      <w:tr w:rsidR="00C6560F">
        <w:tc>
          <w:tcPr>
            <w:tcW w:w="496" w:type="dxa"/>
          </w:tcPr>
          <w:p w:rsidR="00C6560F" w:rsidRDefault="00C6560F">
            <w:pPr>
              <w:jc w:val="center"/>
            </w:pPr>
            <w:r>
              <w:t>5.</w:t>
            </w:r>
          </w:p>
        </w:tc>
        <w:tc>
          <w:tcPr>
            <w:tcW w:w="1984" w:type="dxa"/>
          </w:tcPr>
          <w:p w:rsidR="00C6560F" w:rsidRDefault="00C6560F">
            <w:r>
              <w:t>PN-EN 197-1:2002</w:t>
            </w:r>
          </w:p>
        </w:tc>
        <w:tc>
          <w:tcPr>
            <w:tcW w:w="5029" w:type="dxa"/>
          </w:tcPr>
          <w:p w:rsidR="00C6560F" w:rsidRDefault="00C6560F">
            <w:proofErr w:type="spellStart"/>
            <w:r>
              <w:t>Cement.Część</w:t>
            </w:r>
            <w:proofErr w:type="spellEnd"/>
            <w:r>
              <w:t xml:space="preserve"> 1: Skład, wymagania i kryteria zgodności dotyczące cementu powszechnego użytku</w:t>
            </w:r>
          </w:p>
        </w:tc>
      </w:tr>
      <w:tr w:rsidR="00C6560F">
        <w:tc>
          <w:tcPr>
            <w:tcW w:w="496" w:type="dxa"/>
          </w:tcPr>
          <w:p w:rsidR="00C6560F" w:rsidRDefault="00C6560F">
            <w:pPr>
              <w:jc w:val="center"/>
              <w:rPr>
                <w:lang w:val="de-DE"/>
              </w:rPr>
            </w:pPr>
            <w:r>
              <w:rPr>
                <w:lang w:val="de-DE"/>
              </w:rPr>
              <w:t>6.</w:t>
            </w:r>
          </w:p>
        </w:tc>
        <w:tc>
          <w:tcPr>
            <w:tcW w:w="1984" w:type="dxa"/>
          </w:tcPr>
          <w:p w:rsidR="00C6560F" w:rsidRDefault="00C6560F">
            <w:pPr>
              <w:rPr>
                <w:lang w:val="de-DE"/>
              </w:rPr>
            </w:pPr>
            <w:r>
              <w:rPr>
                <w:lang w:val="de-DE"/>
              </w:rPr>
              <w:t>PN-EN 206-1:2000</w:t>
            </w:r>
          </w:p>
        </w:tc>
        <w:tc>
          <w:tcPr>
            <w:tcW w:w="5029" w:type="dxa"/>
          </w:tcPr>
          <w:p w:rsidR="00C6560F" w:rsidRDefault="00C6560F">
            <w:r>
              <w:rPr>
                <w:lang w:val="de-DE"/>
              </w:rPr>
              <w:t xml:space="preserve">Beton. </w:t>
            </w:r>
            <w:r>
              <w:t>Część 1: Wymagania, właściwości, produkcja               i zgodność</w:t>
            </w:r>
          </w:p>
        </w:tc>
      </w:tr>
    </w:tbl>
    <w:p w:rsidR="00C6560F" w:rsidRDefault="00C6560F"/>
    <w:tbl>
      <w:tblPr>
        <w:tblW w:w="0" w:type="auto"/>
        <w:tblLayout w:type="fixed"/>
        <w:tblCellMar>
          <w:left w:w="70" w:type="dxa"/>
          <w:right w:w="70" w:type="dxa"/>
        </w:tblCellMar>
        <w:tblLook w:val="0000"/>
      </w:tblPr>
      <w:tblGrid>
        <w:gridCol w:w="496"/>
        <w:gridCol w:w="1984"/>
        <w:gridCol w:w="5029"/>
      </w:tblGrid>
      <w:tr w:rsidR="00C6560F">
        <w:tc>
          <w:tcPr>
            <w:tcW w:w="496" w:type="dxa"/>
          </w:tcPr>
          <w:p w:rsidR="00C6560F" w:rsidRDefault="00C6560F">
            <w:pPr>
              <w:jc w:val="center"/>
            </w:pPr>
            <w:r>
              <w:t xml:space="preserve">  7.</w:t>
            </w:r>
          </w:p>
        </w:tc>
        <w:tc>
          <w:tcPr>
            <w:tcW w:w="1984" w:type="dxa"/>
          </w:tcPr>
          <w:p w:rsidR="00C6560F" w:rsidRDefault="00C6560F">
            <w:r>
              <w:t>PN-EN 480-11:2000</w:t>
            </w:r>
          </w:p>
        </w:tc>
        <w:tc>
          <w:tcPr>
            <w:tcW w:w="5029" w:type="dxa"/>
          </w:tcPr>
          <w:p w:rsidR="00C6560F" w:rsidRDefault="00C6560F">
            <w:r>
              <w:t>Domieszki do betonu, zaprawy i zaczynu. Metody badań. Oznaczanie charakterystyki porów powietrznych w stwardniałym betonie</w:t>
            </w:r>
          </w:p>
        </w:tc>
      </w:tr>
      <w:tr w:rsidR="00C6560F">
        <w:tc>
          <w:tcPr>
            <w:tcW w:w="496" w:type="dxa"/>
          </w:tcPr>
          <w:p w:rsidR="00C6560F" w:rsidRDefault="00C6560F">
            <w:pPr>
              <w:jc w:val="center"/>
            </w:pPr>
            <w:r>
              <w:t xml:space="preserve">  8.</w:t>
            </w:r>
          </w:p>
        </w:tc>
        <w:tc>
          <w:tcPr>
            <w:tcW w:w="1984" w:type="dxa"/>
          </w:tcPr>
          <w:p w:rsidR="00C6560F" w:rsidRDefault="00C6560F">
            <w:r>
              <w:t>PN-EN 934-2:1999</w:t>
            </w:r>
          </w:p>
        </w:tc>
        <w:tc>
          <w:tcPr>
            <w:tcW w:w="5029" w:type="dxa"/>
          </w:tcPr>
          <w:p w:rsidR="00C6560F" w:rsidRDefault="00C6560F">
            <w:r>
              <w:t>Domieszki do betonu, zaprawy i zaczynu. Domieszki do betonu. Definicje i wymagania</w:t>
            </w:r>
          </w:p>
        </w:tc>
      </w:tr>
      <w:tr w:rsidR="00C6560F">
        <w:tc>
          <w:tcPr>
            <w:tcW w:w="496" w:type="dxa"/>
          </w:tcPr>
          <w:p w:rsidR="00C6560F" w:rsidRDefault="00C6560F">
            <w:pPr>
              <w:jc w:val="center"/>
            </w:pPr>
            <w:r>
              <w:t xml:space="preserve">  9.</w:t>
            </w:r>
          </w:p>
        </w:tc>
        <w:tc>
          <w:tcPr>
            <w:tcW w:w="1984" w:type="dxa"/>
          </w:tcPr>
          <w:p w:rsidR="00C6560F" w:rsidRDefault="00C6560F">
            <w:r>
              <w:t>PN-B-04481:1988</w:t>
            </w:r>
          </w:p>
        </w:tc>
        <w:tc>
          <w:tcPr>
            <w:tcW w:w="5029" w:type="dxa"/>
          </w:tcPr>
          <w:p w:rsidR="00C6560F" w:rsidRDefault="00C6560F">
            <w:r>
              <w:t>Grunty budowlane. Badania laboratoryjne</w:t>
            </w:r>
          </w:p>
        </w:tc>
      </w:tr>
      <w:tr w:rsidR="00C6560F">
        <w:tc>
          <w:tcPr>
            <w:tcW w:w="496" w:type="dxa"/>
          </w:tcPr>
          <w:p w:rsidR="00C6560F" w:rsidRDefault="00C6560F">
            <w:pPr>
              <w:jc w:val="center"/>
            </w:pPr>
            <w:r>
              <w:t>10.</w:t>
            </w:r>
          </w:p>
        </w:tc>
        <w:tc>
          <w:tcPr>
            <w:tcW w:w="1984" w:type="dxa"/>
          </w:tcPr>
          <w:p w:rsidR="00C6560F" w:rsidRDefault="00C6560F">
            <w:r>
              <w:t>PN-B-06250:1988</w:t>
            </w:r>
          </w:p>
        </w:tc>
        <w:tc>
          <w:tcPr>
            <w:tcW w:w="5029" w:type="dxa"/>
          </w:tcPr>
          <w:p w:rsidR="00C6560F" w:rsidRDefault="00C6560F">
            <w:r>
              <w:t>Beton zwykły</w:t>
            </w:r>
          </w:p>
        </w:tc>
      </w:tr>
      <w:tr w:rsidR="00C6560F">
        <w:tc>
          <w:tcPr>
            <w:tcW w:w="496" w:type="dxa"/>
          </w:tcPr>
          <w:p w:rsidR="00C6560F" w:rsidRDefault="00C6560F">
            <w:pPr>
              <w:jc w:val="center"/>
            </w:pPr>
            <w:r>
              <w:t>11.</w:t>
            </w:r>
          </w:p>
        </w:tc>
        <w:tc>
          <w:tcPr>
            <w:tcW w:w="1984" w:type="dxa"/>
          </w:tcPr>
          <w:p w:rsidR="00C6560F" w:rsidRDefault="00C6560F">
            <w:r>
              <w:t xml:space="preserve">PN-B-06714-15:1991 </w:t>
            </w:r>
          </w:p>
        </w:tc>
        <w:tc>
          <w:tcPr>
            <w:tcW w:w="5029" w:type="dxa"/>
          </w:tcPr>
          <w:p w:rsidR="00C6560F" w:rsidRDefault="00C6560F">
            <w:r>
              <w:t xml:space="preserve">Kruszywa mineralne. Badania. Oznaczanie składu </w:t>
            </w:r>
            <w:r>
              <w:lastRenderedPageBreak/>
              <w:t>ziarnowego</w:t>
            </w:r>
          </w:p>
        </w:tc>
      </w:tr>
      <w:tr w:rsidR="00C6560F">
        <w:tc>
          <w:tcPr>
            <w:tcW w:w="496" w:type="dxa"/>
          </w:tcPr>
          <w:p w:rsidR="00C6560F" w:rsidRDefault="00C6560F">
            <w:pPr>
              <w:jc w:val="center"/>
            </w:pPr>
            <w:r>
              <w:lastRenderedPageBreak/>
              <w:t>12.</w:t>
            </w:r>
          </w:p>
        </w:tc>
        <w:tc>
          <w:tcPr>
            <w:tcW w:w="1984" w:type="dxa"/>
          </w:tcPr>
          <w:p w:rsidR="00C6560F" w:rsidRDefault="00C6560F">
            <w:r>
              <w:t>PN-B-06714-37:1980</w:t>
            </w:r>
          </w:p>
        </w:tc>
        <w:tc>
          <w:tcPr>
            <w:tcW w:w="5029" w:type="dxa"/>
          </w:tcPr>
          <w:p w:rsidR="00C6560F" w:rsidRDefault="00C6560F">
            <w:r>
              <w:t>Kruszywa mineralne. Badania. Oznaczanie rozpadu krzemianowego</w:t>
            </w:r>
          </w:p>
        </w:tc>
      </w:tr>
      <w:tr w:rsidR="00C6560F">
        <w:tc>
          <w:tcPr>
            <w:tcW w:w="496" w:type="dxa"/>
          </w:tcPr>
          <w:p w:rsidR="00C6560F" w:rsidRDefault="00C6560F">
            <w:pPr>
              <w:jc w:val="center"/>
            </w:pPr>
            <w:r>
              <w:t>13.</w:t>
            </w:r>
          </w:p>
        </w:tc>
        <w:tc>
          <w:tcPr>
            <w:tcW w:w="1984" w:type="dxa"/>
          </w:tcPr>
          <w:p w:rsidR="00C6560F" w:rsidRDefault="00C6560F">
            <w:r>
              <w:t>PN-B-06714-39: 1978</w:t>
            </w:r>
          </w:p>
        </w:tc>
        <w:tc>
          <w:tcPr>
            <w:tcW w:w="5029" w:type="dxa"/>
          </w:tcPr>
          <w:p w:rsidR="00C6560F" w:rsidRDefault="00C6560F">
            <w:r>
              <w:t>Kruszywa mineralne. Badania. Oznaczanie rozpadu żelazawego</w:t>
            </w:r>
          </w:p>
        </w:tc>
      </w:tr>
      <w:tr w:rsidR="00C6560F">
        <w:tc>
          <w:tcPr>
            <w:tcW w:w="496" w:type="dxa"/>
          </w:tcPr>
          <w:p w:rsidR="00C6560F" w:rsidRDefault="00C6560F">
            <w:pPr>
              <w:jc w:val="center"/>
            </w:pPr>
            <w:r>
              <w:t>14.</w:t>
            </w:r>
          </w:p>
        </w:tc>
        <w:tc>
          <w:tcPr>
            <w:tcW w:w="1984" w:type="dxa"/>
          </w:tcPr>
          <w:p w:rsidR="00C6560F" w:rsidRDefault="00C6560F">
            <w:r>
              <w:t>PN-B-11111: 1996</w:t>
            </w:r>
          </w:p>
        </w:tc>
        <w:tc>
          <w:tcPr>
            <w:tcW w:w="5029" w:type="dxa"/>
          </w:tcPr>
          <w:p w:rsidR="00C6560F" w:rsidRDefault="00C6560F">
            <w:r>
              <w:t>Kruszywa mineralne. Kruszywa naturalne do nawierzchni drogowych; żwir i mieszanka</w:t>
            </w:r>
          </w:p>
        </w:tc>
      </w:tr>
      <w:tr w:rsidR="00C6560F">
        <w:tc>
          <w:tcPr>
            <w:tcW w:w="496" w:type="dxa"/>
          </w:tcPr>
          <w:p w:rsidR="00C6560F" w:rsidRDefault="00C6560F">
            <w:pPr>
              <w:jc w:val="center"/>
            </w:pPr>
            <w:r>
              <w:t>15.</w:t>
            </w:r>
          </w:p>
        </w:tc>
        <w:tc>
          <w:tcPr>
            <w:tcW w:w="1984" w:type="dxa"/>
          </w:tcPr>
          <w:p w:rsidR="00C6560F" w:rsidRDefault="00C6560F">
            <w:r>
              <w:t>PN-B-11112: 1996</w:t>
            </w:r>
          </w:p>
        </w:tc>
        <w:tc>
          <w:tcPr>
            <w:tcW w:w="5029" w:type="dxa"/>
          </w:tcPr>
          <w:p w:rsidR="00C6560F" w:rsidRDefault="00C6560F">
            <w:r>
              <w:t>Kruszywa mineralne. Kruszywa łamane do nawierzchni drogowych</w:t>
            </w:r>
          </w:p>
        </w:tc>
      </w:tr>
      <w:tr w:rsidR="00C6560F">
        <w:tc>
          <w:tcPr>
            <w:tcW w:w="496" w:type="dxa"/>
          </w:tcPr>
          <w:p w:rsidR="00C6560F" w:rsidRDefault="00C6560F">
            <w:pPr>
              <w:jc w:val="center"/>
            </w:pPr>
            <w:r>
              <w:t>16.</w:t>
            </w:r>
          </w:p>
        </w:tc>
        <w:tc>
          <w:tcPr>
            <w:tcW w:w="1984" w:type="dxa"/>
          </w:tcPr>
          <w:p w:rsidR="00C6560F" w:rsidRDefault="00C6560F">
            <w:r>
              <w:t>PN-B-11113: 1996</w:t>
            </w:r>
          </w:p>
        </w:tc>
        <w:tc>
          <w:tcPr>
            <w:tcW w:w="5029" w:type="dxa"/>
          </w:tcPr>
          <w:p w:rsidR="00C6560F" w:rsidRDefault="00C6560F">
            <w:r>
              <w:t>Kruszywa mineralne. Kruszywa naturalne do nawierzchni drogowych; piasek</w:t>
            </w:r>
          </w:p>
        </w:tc>
      </w:tr>
      <w:tr w:rsidR="00C6560F">
        <w:tc>
          <w:tcPr>
            <w:tcW w:w="496" w:type="dxa"/>
          </w:tcPr>
          <w:p w:rsidR="00C6560F" w:rsidRDefault="00C6560F">
            <w:pPr>
              <w:jc w:val="center"/>
            </w:pPr>
            <w:r>
              <w:t>17.</w:t>
            </w:r>
          </w:p>
        </w:tc>
        <w:tc>
          <w:tcPr>
            <w:tcW w:w="1984" w:type="dxa"/>
          </w:tcPr>
          <w:p w:rsidR="00C6560F" w:rsidRDefault="00C6560F">
            <w:r>
              <w:t>PN-B-23004: 1988</w:t>
            </w:r>
          </w:p>
        </w:tc>
        <w:tc>
          <w:tcPr>
            <w:tcW w:w="5029" w:type="dxa"/>
          </w:tcPr>
          <w:p w:rsidR="00C6560F" w:rsidRDefault="00C6560F">
            <w:r>
              <w:t>Kruszywa mineralne. Kruszywa sztuczne. Kruszywa z żużla wielkopiecowego kawałkowego</w:t>
            </w:r>
          </w:p>
        </w:tc>
      </w:tr>
      <w:tr w:rsidR="00C6560F">
        <w:tc>
          <w:tcPr>
            <w:tcW w:w="496" w:type="dxa"/>
          </w:tcPr>
          <w:p w:rsidR="00C6560F" w:rsidRDefault="00C6560F">
            <w:pPr>
              <w:jc w:val="center"/>
            </w:pPr>
            <w:r>
              <w:t>18.</w:t>
            </w:r>
          </w:p>
        </w:tc>
        <w:tc>
          <w:tcPr>
            <w:tcW w:w="1984" w:type="dxa"/>
          </w:tcPr>
          <w:p w:rsidR="00C6560F" w:rsidRDefault="00C6560F">
            <w:r>
              <w:t>PN-B-32250: 1988</w:t>
            </w:r>
          </w:p>
        </w:tc>
        <w:tc>
          <w:tcPr>
            <w:tcW w:w="5029" w:type="dxa"/>
          </w:tcPr>
          <w:p w:rsidR="00C6560F" w:rsidRDefault="00C6560F">
            <w:r>
              <w:t>Materiały budowlane. Woda do betonów i zapraw</w:t>
            </w:r>
          </w:p>
        </w:tc>
      </w:tr>
      <w:tr w:rsidR="00C6560F">
        <w:tc>
          <w:tcPr>
            <w:tcW w:w="496" w:type="dxa"/>
          </w:tcPr>
          <w:p w:rsidR="00C6560F" w:rsidRDefault="00C6560F">
            <w:pPr>
              <w:jc w:val="center"/>
            </w:pPr>
            <w:r>
              <w:t>19.</w:t>
            </w:r>
          </w:p>
        </w:tc>
        <w:tc>
          <w:tcPr>
            <w:tcW w:w="1984" w:type="dxa"/>
          </w:tcPr>
          <w:p w:rsidR="00C6560F" w:rsidRDefault="00C6560F">
            <w:r>
              <w:t>PN-P-01715 : 1985</w:t>
            </w:r>
          </w:p>
        </w:tc>
        <w:tc>
          <w:tcPr>
            <w:tcW w:w="5029" w:type="dxa"/>
          </w:tcPr>
          <w:p w:rsidR="00C6560F" w:rsidRDefault="00C6560F">
            <w:r>
              <w:t>Włókniny. Zestawienie wskaźników technologicznych i użytkowych oraz metod badań</w:t>
            </w:r>
          </w:p>
        </w:tc>
      </w:tr>
      <w:tr w:rsidR="00C6560F">
        <w:tc>
          <w:tcPr>
            <w:tcW w:w="496" w:type="dxa"/>
          </w:tcPr>
          <w:p w:rsidR="00C6560F" w:rsidRDefault="00C6560F">
            <w:pPr>
              <w:jc w:val="center"/>
            </w:pPr>
            <w:r>
              <w:t>20.</w:t>
            </w:r>
          </w:p>
        </w:tc>
        <w:tc>
          <w:tcPr>
            <w:tcW w:w="1984" w:type="dxa"/>
          </w:tcPr>
          <w:p w:rsidR="00C6560F" w:rsidRDefault="00C6560F">
            <w:r>
              <w:t>PN-S-96013 : 1997</w:t>
            </w:r>
          </w:p>
        </w:tc>
        <w:tc>
          <w:tcPr>
            <w:tcW w:w="5029" w:type="dxa"/>
          </w:tcPr>
          <w:p w:rsidR="00C6560F" w:rsidRDefault="00C6560F">
            <w:r>
              <w:t>Drogi samochodowe. Podbudowa z chudego betonu. Wymagania i badania</w:t>
            </w:r>
          </w:p>
        </w:tc>
      </w:tr>
      <w:tr w:rsidR="00C6560F">
        <w:tc>
          <w:tcPr>
            <w:tcW w:w="496" w:type="dxa"/>
          </w:tcPr>
          <w:p w:rsidR="00C6560F" w:rsidRDefault="00C6560F">
            <w:pPr>
              <w:jc w:val="center"/>
            </w:pPr>
            <w:r>
              <w:t>21.</w:t>
            </w:r>
          </w:p>
        </w:tc>
        <w:tc>
          <w:tcPr>
            <w:tcW w:w="1984" w:type="dxa"/>
          </w:tcPr>
          <w:p w:rsidR="00C6560F" w:rsidRDefault="00C6560F">
            <w:r>
              <w:t>PN-S-96014 : 1997</w:t>
            </w:r>
          </w:p>
        </w:tc>
        <w:tc>
          <w:tcPr>
            <w:tcW w:w="5029" w:type="dxa"/>
          </w:tcPr>
          <w:p w:rsidR="00C6560F" w:rsidRDefault="00C6560F">
            <w:r>
              <w:t>Drogi samochodowe i lotniskowe. Podbudowa z betonu cementowego pod nawierzchnię ulepszoną.</w:t>
            </w:r>
          </w:p>
        </w:tc>
      </w:tr>
      <w:tr w:rsidR="00C6560F">
        <w:tc>
          <w:tcPr>
            <w:tcW w:w="496" w:type="dxa"/>
          </w:tcPr>
          <w:p w:rsidR="00C6560F" w:rsidRDefault="00C6560F">
            <w:pPr>
              <w:jc w:val="center"/>
            </w:pPr>
            <w:r>
              <w:t>22.</w:t>
            </w:r>
          </w:p>
        </w:tc>
        <w:tc>
          <w:tcPr>
            <w:tcW w:w="1984" w:type="dxa"/>
          </w:tcPr>
          <w:p w:rsidR="00C6560F" w:rsidRDefault="00C6560F">
            <w:r>
              <w:t>BN-88/6731-08</w:t>
            </w:r>
          </w:p>
        </w:tc>
        <w:tc>
          <w:tcPr>
            <w:tcW w:w="5029" w:type="dxa"/>
          </w:tcPr>
          <w:p w:rsidR="00C6560F" w:rsidRDefault="00C6560F">
            <w:r>
              <w:t>Cement. Transport i przechowywanie</w:t>
            </w:r>
          </w:p>
        </w:tc>
      </w:tr>
      <w:tr w:rsidR="00C6560F">
        <w:tc>
          <w:tcPr>
            <w:tcW w:w="496" w:type="dxa"/>
          </w:tcPr>
          <w:p w:rsidR="00C6560F" w:rsidRDefault="00C6560F">
            <w:pPr>
              <w:jc w:val="center"/>
            </w:pPr>
            <w:r>
              <w:t>23.</w:t>
            </w:r>
          </w:p>
        </w:tc>
        <w:tc>
          <w:tcPr>
            <w:tcW w:w="1984" w:type="dxa"/>
          </w:tcPr>
          <w:p w:rsidR="00C6560F" w:rsidRDefault="00C6560F">
            <w:r>
              <w:t>BN-68/8931-04</w:t>
            </w:r>
          </w:p>
        </w:tc>
        <w:tc>
          <w:tcPr>
            <w:tcW w:w="5029" w:type="dxa"/>
          </w:tcPr>
          <w:p w:rsidR="00C6560F" w:rsidRDefault="00C6560F">
            <w:r>
              <w:t xml:space="preserve">Drogi samochodowe. Pomiar równości nawierzchni </w:t>
            </w:r>
            <w:proofErr w:type="spellStart"/>
            <w:r>
              <w:t>planografem</w:t>
            </w:r>
            <w:proofErr w:type="spellEnd"/>
            <w:r>
              <w:t xml:space="preserve"> i łatą.</w:t>
            </w:r>
          </w:p>
        </w:tc>
      </w:tr>
    </w:tbl>
    <w:p w:rsidR="00C6560F" w:rsidRDefault="00C6560F">
      <w:pPr>
        <w:pStyle w:val="Nagwek2"/>
      </w:pPr>
      <w:r>
        <w:t>10.2. Inne dokumenty</w:t>
      </w:r>
    </w:p>
    <w:p w:rsidR="00C6560F" w:rsidRDefault="00C6560F" w:rsidP="00DB470A">
      <w:pPr>
        <w:numPr>
          <w:ilvl w:val="0"/>
          <w:numId w:val="5"/>
        </w:numPr>
      </w:pPr>
      <w:r>
        <w:t xml:space="preserve">Katalog typowych konstrukcji nawierzchni podatnych i półsztywnych, </w:t>
      </w:r>
      <w:proofErr w:type="spellStart"/>
      <w:r>
        <w:t>IBDiM</w:t>
      </w:r>
      <w:proofErr w:type="spellEnd"/>
      <w:r>
        <w:t>, Warszawa, 1997</w:t>
      </w:r>
    </w:p>
    <w:p w:rsidR="00C6560F" w:rsidRDefault="00C6560F" w:rsidP="00DB470A">
      <w:pPr>
        <w:numPr>
          <w:ilvl w:val="0"/>
          <w:numId w:val="5"/>
        </w:numPr>
        <w:spacing w:before="120"/>
      </w:pPr>
      <w:r>
        <w:t xml:space="preserve"> Katalog typowych konstrukcji nawierzchni sztywnych, </w:t>
      </w:r>
      <w:proofErr w:type="spellStart"/>
      <w:r>
        <w:t>IBDiM</w:t>
      </w:r>
      <w:proofErr w:type="spellEnd"/>
      <w:r>
        <w:t>, Warszawa, 2001</w:t>
      </w:r>
    </w:p>
    <w:p w:rsidR="00C6560F" w:rsidRDefault="00C6560F" w:rsidP="00DB470A">
      <w:pPr>
        <w:numPr>
          <w:ilvl w:val="0"/>
          <w:numId w:val="5"/>
        </w:numPr>
        <w:spacing w:before="120"/>
      </w:pPr>
      <w:r>
        <w:t xml:space="preserve"> WT/MK-CZDP84. Wytyczne techniczne oceny jakości grysów i żwirów kruszonych z naturalnie rozdrobnionego surowca skalnego przeznaczonych do nawierzchni drogowych, CZDP, Warszawa, 1984</w:t>
      </w:r>
    </w:p>
    <w:p w:rsidR="00C6560F" w:rsidRDefault="00C6560F"/>
    <w:sectPr w:rsidR="00C6560F" w:rsidSect="0059028F">
      <w:headerReference w:type="even" r:id="rId10"/>
      <w:pgSz w:w="11907" w:h="16840" w:code="9"/>
      <w:pgMar w:top="1418" w:right="1418" w:bottom="1418" w:left="226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1B" w:rsidRDefault="008D461B">
      <w:r>
        <w:separator/>
      </w:r>
    </w:p>
  </w:endnote>
  <w:endnote w:type="continuationSeparator" w:id="0">
    <w:p w:rsidR="008D461B" w:rsidRDefault="008D4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1B" w:rsidRDefault="008D461B">
      <w:r>
        <w:separator/>
      </w:r>
    </w:p>
  </w:footnote>
  <w:footnote w:type="continuationSeparator" w:id="0">
    <w:p w:rsidR="008D461B" w:rsidRDefault="008D4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0F" w:rsidRDefault="00C6560F"/>
  <w:p w:rsidR="00C6560F" w:rsidRDefault="00C6560F">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0F" w:rsidRDefault="00C6560F">
    <w:pPr>
      <w:pStyle w:val="Nagwek"/>
      <w:rPr>
        <w:rFonts w:ascii="Times New Roman" w:hAnsi="Times New Roman"/>
        <w:sz w:val="20"/>
      </w:rPr>
    </w:pPr>
  </w:p>
  <w:p w:rsidR="00C6560F" w:rsidRDefault="00C6560F">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2490CC"/>
    <w:lvl w:ilvl="0">
      <w:numFmt w:val="bullet"/>
      <w:lvlText w:val="*"/>
      <w:lvlJc w:val="left"/>
    </w:lvl>
  </w:abstractNum>
  <w:abstractNum w:abstractNumId="1">
    <w:nsid w:val="07340968"/>
    <w:multiLevelType w:val="singleLevel"/>
    <w:tmpl w:val="24EAAAFC"/>
    <w:lvl w:ilvl="0">
      <w:start w:val="1"/>
      <w:numFmt w:val="lowerLetter"/>
      <w:lvlText w:val="%1)"/>
      <w:legacy w:legacy="1" w:legacySpace="0" w:legacyIndent="283"/>
      <w:lvlJc w:val="left"/>
      <w:pPr>
        <w:ind w:left="283" w:hanging="283"/>
      </w:pPr>
    </w:lvl>
  </w:abstractNum>
  <w:abstractNum w:abstractNumId="2">
    <w:nsid w:val="164C1E11"/>
    <w:multiLevelType w:val="singleLevel"/>
    <w:tmpl w:val="5F28DC7A"/>
    <w:lvl w:ilvl="0">
      <w:start w:val="24"/>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sz w:val="20"/>
        </w:rPr>
      </w:lvl>
    </w:lvlOverride>
  </w:num>
  <w:num w:numId="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B470A"/>
    <w:rsid w:val="000338CD"/>
    <w:rsid w:val="00232A7B"/>
    <w:rsid w:val="0038237B"/>
    <w:rsid w:val="003845CA"/>
    <w:rsid w:val="0059028F"/>
    <w:rsid w:val="0059062A"/>
    <w:rsid w:val="005F0A06"/>
    <w:rsid w:val="00773F1D"/>
    <w:rsid w:val="008B7902"/>
    <w:rsid w:val="008D461B"/>
    <w:rsid w:val="00A21135"/>
    <w:rsid w:val="00C6560F"/>
    <w:rsid w:val="00D13354"/>
    <w:rsid w:val="00D765F7"/>
    <w:rsid w:val="00DB470A"/>
    <w:rsid w:val="00DC49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59028F"/>
    <w:pPr>
      <w:overflowPunct w:val="0"/>
      <w:autoSpaceDE w:val="0"/>
      <w:autoSpaceDN w:val="0"/>
      <w:adjustRightInd w:val="0"/>
      <w:jc w:val="both"/>
      <w:textAlignment w:val="baseline"/>
    </w:pPr>
  </w:style>
  <w:style w:type="paragraph" w:styleId="Nagwek1">
    <w:name w:val="heading 1"/>
    <w:basedOn w:val="Normalny"/>
    <w:next w:val="Normalny"/>
    <w:qFormat/>
    <w:rsid w:val="0059028F"/>
    <w:pPr>
      <w:keepNext/>
      <w:keepLines/>
      <w:suppressAutoHyphens/>
      <w:spacing w:before="240" w:after="120"/>
      <w:outlineLvl w:val="0"/>
    </w:pPr>
    <w:rPr>
      <w:b/>
      <w:caps/>
      <w:kern w:val="28"/>
    </w:rPr>
  </w:style>
  <w:style w:type="paragraph" w:styleId="Nagwek2">
    <w:name w:val="heading 2"/>
    <w:basedOn w:val="Normalny"/>
    <w:next w:val="Normalny"/>
    <w:qFormat/>
    <w:rsid w:val="0059028F"/>
    <w:pPr>
      <w:keepNext/>
      <w:spacing w:before="120" w:after="120"/>
      <w:outlineLvl w:val="1"/>
    </w:pPr>
    <w:rPr>
      <w:b/>
    </w:rPr>
  </w:style>
  <w:style w:type="paragraph" w:styleId="Nagwek3">
    <w:name w:val="heading 3"/>
    <w:basedOn w:val="Normalny"/>
    <w:next w:val="Normalny"/>
    <w:qFormat/>
    <w:rsid w:val="0059028F"/>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59028F"/>
    <w:pPr>
      <w:tabs>
        <w:tab w:val="right" w:leader="dot" w:pos="7371"/>
      </w:tabs>
      <w:spacing w:before="120" w:after="120"/>
      <w:jc w:val="left"/>
    </w:pPr>
    <w:rPr>
      <w:b/>
      <w:caps/>
    </w:rPr>
  </w:style>
  <w:style w:type="paragraph" w:styleId="Spistreci2">
    <w:name w:val="toc 2"/>
    <w:basedOn w:val="Normalny"/>
    <w:next w:val="Normalny"/>
    <w:semiHidden/>
    <w:rsid w:val="0059028F"/>
    <w:pPr>
      <w:tabs>
        <w:tab w:val="right" w:leader="dot" w:pos="7371"/>
      </w:tabs>
      <w:ind w:left="200"/>
      <w:jc w:val="left"/>
    </w:pPr>
  </w:style>
  <w:style w:type="paragraph" w:styleId="Spistreci3">
    <w:name w:val="toc 3"/>
    <w:basedOn w:val="Normalny"/>
    <w:next w:val="Normalny"/>
    <w:semiHidden/>
    <w:rsid w:val="0059028F"/>
    <w:pPr>
      <w:tabs>
        <w:tab w:val="right" w:leader="dot" w:pos="7371"/>
      </w:tabs>
      <w:ind w:left="400"/>
      <w:jc w:val="left"/>
    </w:pPr>
  </w:style>
  <w:style w:type="paragraph" w:styleId="Spistreci4">
    <w:name w:val="toc 4"/>
    <w:basedOn w:val="Normalny"/>
    <w:next w:val="Normalny"/>
    <w:semiHidden/>
    <w:rsid w:val="0059028F"/>
    <w:pPr>
      <w:tabs>
        <w:tab w:val="right" w:leader="dot" w:pos="7371"/>
      </w:tabs>
      <w:ind w:left="600"/>
      <w:jc w:val="left"/>
    </w:pPr>
    <w:rPr>
      <w:sz w:val="18"/>
    </w:rPr>
  </w:style>
  <w:style w:type="paragraph" w:styleId="Spistreci5">
    <w:name w:val="toc 5"/>
    <w:basedOn w:val="Normalny"/>
    <w:next w:val="Normalny"/>
    <w:semiHidden/>
    <w:rsid w:val="0059028F"/>
    <w:pPr>
      <w:tabs>
        <w:tab w:val="right" w:leader="dot" w:pos="7371"/>
      </w:tabs>
      <w:ind w:left="800"/>
      <w:jc w:val="left"/>
    </w:pPr>
    <w:rPr>
      <w:sz w:val="18"/>
    </w:rPr>
  </w:style>
  <w:style w:type="paragraph" w:styleId="Spistreci6">
    <w:name w:val="toc 6"/>
    <w:basedOn w:val="Normalny"/>
    <w:next w:val="Normalny"/>
    <w:semiHidden/>
    <w:rsid w:val="0059028F"/>
    <w:pPr>
      <w:tabs>
        <w:tab w:val="right" w:leader="dot" w:pos="7371"/>
      </w:tabs>
      <w:ind w:left="1000"/>
      <w:jc w:val="left"/>
    </w:pPr>
    <w:rPr>
      <w:sz w:val="18"/>
    </w:rPr>
  </w:style>
  <w:style w:type="paragraph" w:styleId="Spistreci7">
    <w:name w:val="toc 7"/>
    <w:basedOn w:val="Normalny"/>
    <w:next w:val="Normalny"/>
    <w:semiHidden/>
    <w:rsid w:val="0059028F"/>
    <w:pPr>
      <w:tabs>
        <w:tab w:val="right" w:leader="dot" w:pos="7371"/>
      </w:tabs>
      <w:ind w:left="1200"/>
      <w:jc w:val="left"/>
    </w:pPr>
    <w:rPr>
      <w:sz w:val="18"/>
    </w:rPr>
  </w:style>
  <w:style w:type="paragraph" w:styleId="Spistreci8">
    <w:name w:val="toc 8"/>
    <w:basedOn w:val="Normalny"/>
    <w:next w:val="Normalny"/>
    <w:semiHidden/>
    <w:rsid w:val="0059028F"/>
    <w:pPr>
      <w:tabs>
        <w:tab w:val="right" w:leader="dot" w:pos="7371"/>
      </w:tabs>
      <w:ind w:left="1400"/>
      <w:jc w:val="left"/>
    </w:pPr>
    <w:rPr>
      <w:sz w:val="18"/>
    </w:rPr>
  </w:style>
  <w:style w:type="paragraph" w:styleId="Spistreci9">
    <w:name w:val="toc 9"/>
    <w:basedOn w:val="Normalny"/>
    <w:next w:val="Normalny"/>
    <w:semiHidden/>
    <w:rsid w:val="0059028F"/>
    <w:pPr>
      <w:tabs>
        <w:tab w:val="right" w:leader="dot" w:pos="7371"/>
      </w:tabs>
      <w:ind w:left="1600"/>
      <w:jc w:val="left"/>
    </w:pPr>
    <w:rPr>
      <w:sz w:val="18"/>
    </w:rPr>
  </w:style>
  <w:style w:type="character" w:styleId="Numerstrony">
    <w:name w:val="page number"/>
    <w:basedOn w:val="Domylnaczcionkaakapitu"/>
    <w:rsid w:val="0059028F"/>
  </w:style>
  <w:style w:type="paragraph" w:customStyle="1" w:styleId="StylIwony">
    <w:name w:val="Styl Iwony"/>
    <w:basedOn w:val="Normalny"/>
    <w:rsid w:val="0059028F"/>
    <w:pPr>
      <w:spacing w:before="120" w:after="120"/>
    </w:pPr>
    <w:rPr>
      <w:rFonts w:ascii="Bookman Old Style" w:hAnsi="Bookman Old Style"/>
      <w:sz w:val="24"/>
    </w:rPr>
  </w:style>
  <w:style w:type="paragraph" w:styleId="Nagwek">
    <w:name w:val="header"/>
    <w:basedOn w:val="Normalny"/>
    <w:rsid w:val="0059028F"/>
    <w:pPr>
      <w:tabs>
        <w:tab w:val="center" w:pos="4536"/>
        <w:tab w:val="right" w:pos="9072"/>
      </w:tabs>
      <w:jc w:val="left"/>
    </w:pPr>
    <w:rPr>
      <w:rFonts w:ascii="Century Gothic" w:hAnsi="Century Gothic"/>
      <w:sz w:val="24"/>
    </w:rPr>
  </w:style>
  <w:style w:type="paragraph" w:styleId="Stopka">
    <w:name w:val="footer"/>
    <w:basedOn w:val="Normalny"/>
    <w:rsid w:val="0059028F"/>
    <w:pPr>
      <w:tabs>
        <w:tab w:val="center" w:pos="4536"/>
        <w:tab w:val="right" w:pos="9072"/>
      </w:tabs>
    </w:pPr>
  </w:style>
  <w:style w:type="paragraph" w:styleId="Tekstprzypisudolnego">
    <w:name w:val="footnote text"/>
    <w:basedOn w:val="Normalny"/>
    <w:semiHidden/>
    <w:rsid w:val="0059028F"/>
  </w:style>
  <w:style w:type="paragraph" w:customStyle="1" w:styleId="tekstost">
    <w:name w:val="tekst ost"/>
    <w:basedOn w:val="Normalny"/>
    <w:rsid w:val="0059028F"/>
  </w:style>
  <w:style w:type="character" w:styleId="Odwoanieprzypisudolnego">
    <w:name w:val="footnote reference"/>
    <w:basedOn w:val="Domylnaczcionkaakapitu"/>
    <w:semiHidden/>
    <w:rsid w:val="005902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40601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d040601bis</Template>
  <TotalTime>1</TotalTime>
  <Pages>11</Pages>
  <Words>3455</Words>
  <Characters>20733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D-04.06.01</vt:lpstr>
    </vt:vector>
  </TitlesOfParts>
  <Company>BZDBDiM Sp. z o.o.</Company>
  <LinksUpToDate>false</LinksUpToDate>
  <CharactersWithSpaces>24140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D-04.06.01</dc:title>
  <dc:subject>ost</dc:subject>
  <dc:creator>Unknown</dc:creator>
  <cp:keywords>specyfikacje, drogi, drogownictwo, ost</cp:keywords>
  <dc:description>Podbudowa z chudego betonu</dc:description>
  <cp:lastModifiedBy>Kompuer</cp:lastModifiedBy>
  <cp:revision>3</cp:revision>
  <cp:lastPrinted>2006-05-15T10:30:00Z</cp:lastPrinted>
  <dcterms:created xsi:type="dcterms:W3CDTF">2012-05-22T05:27:00Z</dcterms:created>
  <dcterms:modified xsi:type="dcterms:W3CDTF">2013-03-26T12:43:00Z</dcterms:modified>
</cp:coreProperties>
</file>