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pStyle w:val="Standardowytekst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 SPECYFIKACJE TECHNICZNE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D-01.02.04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ROZBIÓRKA ELEMENTÓW DRÓG, OGRODZEŃ</w:t>
      </w: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PRZEPUSTÓW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jc w:val="center"/>
        <w:rPr>
          <w:sz w:val="24"/>
        </w:rPr>
      </w:pPr>
    </w:p>
    <w:p w:rsidR="00A9653A" w:rsidRDefault="00EE6982">
      <w:pPr>
        <w:pStyle w:val="Spistreci1"/>
        <w:spacing w:before="0" w:after="0"/>
        <w:ind w:left="142"/>
        <w:rPr>
          <w:noProof/>
        </w:rPr>
      </w:pPr>
      <w:r w:rsidRPr="00EE6982">
        <w:rPr>
          <w:sz w:val="24"/>
        </w:rPr>
        <w:fldChar w:fldCharType="begin"/>
      </w:r>
      <w:r w:rsidR="00A9653A">
        <w:rPr>
          <w:sz w:val="24"/>
        </w:rPr>
        <w:instrText xml:space="preserve"> TOC \o "1-1" </w:instrText>
      </w:r>
      <w:r w:rsidRPr="00EE6982">
        <w:rPr>
          <w:sz w:val="24"/>
        </w:rPr>
        <w:fldChar w:fldCharType="separate"/>
      </w:r>
      <w:r w:rsidR="00A9653A">
        <w:rPr>
          <w:noProof/>
        </w:rPr>
        <w:t>1. WSTĘP</w:t>
      </w:r>
      <w:r w:rsidR="00A9653A"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</w:p>
    <w:p w:rsidR="00A9653A" w:rsidRDefault="00EE6982">
      <w:pPr>
        <w:tabs>
          <w:tab w:val="right" w:leader="dot" w:pos="-1985"/>
          <w:tab w:val="left" w:pos="426"/>
          <w:tab w:val="right" w:leader="dot" w:pos="8505"/>
        </w:tabs>
      </w:pPr>
      <w:r>
        <w:rPr>
          <w:sz w:val="24"/>
        </w:rPr>
        <w:fldChar w:fldCharType="end"/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pStyle w:val="Nagwek1"/>
      </w:pPr>
      <w:r>
        <w:lastRenderedPageBreak/>
        <w:t>1. WSTĘP</w:t>
      </w:r>
    </w:p>
    <w:p w:rsidR="00A9653A" w:rsidRDefault="00A9653A">
      <w:pPr>
        <w:pStyle w:val="Nagwek2"/>
      </w:pPr>
      <w:r>
        <w:t>1.1. Przedmiot SST</w:t>
      </w:r>
    </w:p>
    <w:p w:rsidR="00A9653A" w:rsidRDefault="00A9653A">
      <w:pPr>
        <w:tabs>
          <w:tab w:val="left" w:pos="0"/>
        </w:tabs>
      </w:pPr>
      <w:r>
        <w:rPr>
          <w:b/>
        </w:rPr>
        <w:tab/>
      </w:r>
      <w:r>
        <w:t xml:space="preserve">Przedmiotem niniejszej szczegółowej specyfikacji technicznej (SST) są wymagania dotyczące wykonania i odbioru robót związanych z rozbiórką elementów dróg, ogrodzeń i przepustów. </w:t>
      </w:r>
    </w:p>
    <w:p w:rsidR="00A9653A" w:rsidRDefault="00A9653A">
      <w:pPr>
        <w:pStyle w:val="Nagwek2"/>
      </w:pPr>
      <w:r>
        <w:t>1.2. Zakres stosowania SST</w:t>
      </w:r>
    </w:p>
    <w:p w:rsidR="00BC7248" w:rsidRDefault="00A9653A" w:rsidP="00BC7248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BC7248">
        <w:t xml:space="preserve">BUDOWA ODCINKA ULICY TOWAROWEJ  w Czempiniu.  </w:t>
      </w:r>
    </w:p>
    <w:p w:rsidR="00A9653A" w:rsidRDefault="00A9653A">
      <w:pPr>
        <w:tabs>
          <w:tab w:val="left" w:pos="0"/>
        </w:tabs>
      </w:pPr>
    </w:p>
    <w:p w:rsidR="00A9653A" w:rsidRDefault="00A9653A">
      <w:pPr>
        <w:pStyle w:val="Nagwek2"/>
      </w:pPr>
      <w:r>
        <w:t>1.3. Zakres robót objętych SST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Ustalenia zawarte w niniejszej specyfikacji dotyczą zasad prowadzenia robót związanych z rozbiórką: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warstw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krawężników, obrzeży i oporników,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ścieków,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 chodników,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ogrodzeń,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barier i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znaków drogowych,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przepustów: betonowych, żelbetowych, kamiennych, ceglanych itp.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1.4. Określenia podstawowe</w:t>
      </w:r>
    </w:p>
    <w:p w:rsidR="00A9653A" w:rsidRDefault="00A9653A" w:rsidP="00EA079F">
      <w:pPr>
        <w:numPr>
          <w:ilvl w:val="12"/>
          <w:numId w:val="0"/>
        </w:numPr>
        <w:tabs>
          <w:tab w:val="left" w:pos="0"/>
        </w:tabs>
      </w:pPr>
      <w:r>
        <w:tab/>
        <w:t xml:space="preserve">Stosowane 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2. MATERIAŁY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2.2. Rusztowania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Rusztowania robocze przestawne przy rozbiórce przepustów mogą być wykonane z drewna lub rur stalowych w postaci: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kozłowych, wysokości od 1,0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składających się z leżni z bali (np. 12,5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nóg z krawędziaków (np. 7,6 x </w:t>
      </w:r>
      <w:smartTag w:uri="urn:schemas-microsoft-com:office:smarttags" w:element="metricconverter">
        <w:smartTagPr>
          <w:attr w:name="ProductID" w:val="7,6 cm"/>
        </w:smartTagPr>
        <w:r>
          <w:t>7,6 cm</w:t>
        </w:r>
      </w:smartTag>
      <w:r>
        <w:t xml:space="preserve">), stężeń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>) i pomostu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drabinowych, składających się z drabin (np. długości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szerokości </w:t>
      </w:r>
      <w:smartTag w:uri="urn:schemas-microsoft-com:office:smarttags" w:element="metricconverter">
        <w:smartTagPr>
          <w:attr w:name="ProductID" w:val="52 cm"/>
        </w:smartTagPr>
        <w:r>
          <w:t>52 cm</w:t>
        </w:r>
      </w:smartTag>
      <w:r>
        <w:t xml:space="preserve">), usztywnionych stężeniami z desek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na których szczeblach (np. 3,2 x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>) układa się pomosty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przestawnych klatek </w:t>
      </w:r>
      <w:proofErr w:type="spellStart"/>
      <w:r>
        <w:t>rusztowaniowych</w:t>
      </w:r>
      <w:proofErr w:type="spellEnd"/>
      <w:r>
        <w:t xml:space="preserve"> z rur stalowych średnicy od 38 do </w:t>
      </w:r>
      <w:smartTag w:uri="urn:schemas-microsoft-com:office:smarttags" w:element="metricconverter">
        <w:smartTagPr>
          <w:attr w:name="ProductID" w:val="63,5 mm"/>
        </w:smartTagPr>
        <w:r>
          <w:t>63,5 mm</w:t>
        </w:r>
      </w:smartTag>
      <w:r>
        <w:t xml:space="preserve">, o wymiarach klatek około 1,2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lub płaskich klatek </w:t>
      </w:r>
      <w:proofErr w:type="spellStart"/>
      <w:r>
        <w:t>rusztowaniowych</w:t>
      </w:r>
      <w:proofErr w:type="spellEnd"/>
      <w:r>
        <w:t xml:space="preserve"> (np. z rur stalowych średnicy </w:t>
      </w:r>
      <w:smartTag w:uri="urn:schemas-microsoft-com:office:smarttags" w:element="metricconverter">
        <w:smartTagPr>
          <w:attr w:name="ProductID" w:val="108 mm"/>
        </w:smartTagPr>
        <w:r>
          <w:t>108 mm</w:t>
        </w:r>
      </w:smartTag>
      <w:r>
        <w:t xml:space="preserve"> i kątowników 45 x 45 x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70 x 70 x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), o wymiarach klatek około 1,1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z rur stalowych średnicy od 33,5 do </w:t>
      </w:r>
      <w:smartTag w:uri="urn:schemas-microsoft-com:office:smarttags" w:element="metricconverter">
        <w:smartTagPr>
          <w:attr w:name="ProductID" w:val="76,1 mm"/>
        </w:smartTagPr>
        <w:r>
          <w:t>76,1 mm</w:t>
        </w:r>
      </w:smartTag>
      <w:r>
        <w:t xml:space="preserve"> połączonych łącznikami w ramownice i kratownice.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Rusztowanie należy wykonać z materiałów odpowiadających następującym normom: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drewno i tarcica wg PN-D-95017 [1], PN-D-96000 [2], PN-D-96002 [3]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gwoździe wg BN-87/5028-12 [8],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rury stalowe wg PN-H-74219 [4], PN-H-74220 [5]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kątowniki wg PN-H-93401[6], PN-H-93402 [7] lub innej zaakceptowanej przez Inżyniera.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lastRenderedPageBreak/>
        <w:t>3. SPRZĘT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3.2. Sprzęt do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 wykonania robót związanych z rozbiórką elementów dróg, ogrodzeń i przepustów może być wykorzystany sprzęt podany poniżej, lub inny zaakceptowany przez Inżyniera: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spycharki,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ładowarki,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żurawie samochodowe,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samochody ciężarowe,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zrywarki,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młoty pneumatyczne,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piły mechaniczne,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frezarki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koparki.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4. TRANSPORT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4.2. Transport materiałów z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Materiał z rozbiórki można przewozić dowolnym środkiem transportu.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5. WYKONANIE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5.2. Wykonanie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Roboty rozbiórkowe elementów dróg, ogrodzeń i przepustów obejmują usunięcie z terenu budowy wszystkich elementów wymienionych w </w:t>
      </w:r>
      <w:proofErr w:type="spellStart"/>
      <w:r>
        <w:t>pkt</w:t>
      </w:r>
      <w:proofErr w:type="spellEnd"/>
      <w:r>
        <w:t xml:space="preserve"> 1.3, zgodnie z dokumentacją projektową, SST lub wskazanych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Jeśli dokumentacja projektowa nie zawiera dokumentacji inwentaryzacyjnej lub/i rozbiórkowej, Inżynier może polecić Wykonawcy sporządzenie takiej dokumentacji, w której zostanie określony przewidziany odzysk materiałów.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Roboty rozbiórkowe można wykonywać mechanicznie lub ręcznie w sposób określony w SST lub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W przypadku usuwania warstw nawierzchni z zastosowaniem frezarek drogowych, należy spełnić warunki określone </w:t>
      </w:r>
      <w:proofErr w:type="spellStart"/>
      <w:r>
        <w:t>wSOST</w:t>
      </w:r>
      <w:proofErr w:type="spellEnd"/>
      <w:r>
        <w:t xml:space="preserve"> D-05.03.11 „Recykling”.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 przypadku robót rozbiórkowych przepustu należy dokonać: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odkopania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ew. ustawienia przenośnych rusztowań przy przepustach wyższych od około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rozbicia elementów, których nie przewiduje się odzyskać, w sposób ręczny lub mechaniczny z ew. przecięciem prętów zbrojeniowych i ich odgięciem,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demontażu prefabrykowanych elementów przepustów (np. rur, elementów skrzynkowych, ramowych) z uprzednim oczyszczeniem spoin i częściowym usunięciu ław, względnie ostrożnego rozebrania konstrukcji kamiennych, ceglanych, klinkierowych itp. przy założeniu ponownego ich wykorzystania,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oczyszczenia rozebranych elementów, przewidzianych do powtórnego użycia                      (z zaprawy, kawałków betonu, izolacji itp.) i ich posortowania.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Wszystkie elementy możliwe do powtórnego wykorzystania powinny być usuwane bez powodowania zbędnych uszkodzeń. O ile uzyskane elementy nie stają się własnością Wykonawcy, powinien on przewieźć je na miejsce określone w SST lub wskazane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Elementy i materiały, które zgodnie z SST stają się własnością Wykonawcy, powinny być usunięte z terenu budowy.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ab/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6. KONTROLA JAKOŚCI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6.2. Kontrola jakości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Kontrola jakości robót polega na wizualnej ocenie kompletności wykonanych robót rozbiórkowych oraz sprawdzeniu stopnia uszkodzenia elementów przewidzianych do powtórnego wykorzystania.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Zagęszczenie gruntu wypełniającego ewentualne doły po usuniętych elementach nawierzchni, ogrodzeń i przepustów powinno spełniać odpowiednie wymagania określone w SST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7. OBMIAR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7.1. Ogólne zasady obmiaru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obmiaru robót podano w SST D-M-00.00.00 „Wymagania ogólne”     </w:t>
      </w:r>
      <w:proofErr w:type="spellStart"/>
      <w:r>
        <w:t>pkt</w:t>
      </w:r>
      <w:proofErr w:type="spellEnd"/>
      <w:r>
        <w:t xml:space="preserve"> 7.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7.2. Jednostka obmiarowa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Jednostką obmiarową robót związanych z rozbiórką elementów dróg i ogrodzeń jest: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nawierzchni i chodnika - m</w:t>
      </w:r>
      <w:r>
        <w:rPr>
          <w:vertAlign w:val="superscript"/>
        </w:rPr>
        <w:t>2</w:t>
      </w:r>
      <w:r>
        <w:t xml:space="preserve"> (metr kwadratowy),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krawężnika, opornika, obrzeża, ścieków prefabrykowanych, ogrodzeń, barier i poręczy - m (metr),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znaków drogowych - szt. (sztuka),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przepustów i ich elementów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a) betonowych, kamiennych, ceglanych - m</w:t>
      </w:r>
      <w:r>
        <w:rPr>
          <w:vertAlign w:val="superscript"/>
        </w:rPr>
        <w:t>3</w:t>
      </w:r>
      <w:r>
        <w:t xml:space="preserve"> (metr sześcienny),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b) prefabrykowanych betonowych, żelbetowych - m (metr).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8. ODBIÓR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odbioru robót podano w SST D-M-00.00.00 „Wymagania ogólne”            </w:t>
      </w:r>
      <w:proofErr w:type="spellStart"/>
      <w:r>
        <w:t>pkt</w:t>
      </w:r>
      <w:proofErr w:type="spellEnd"/>
      <w:r>
        <w:t xml:space="preserve"> 8.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9. PODSTAWA PŁATNOŚCI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9.2. Cena jednostki obmiarowej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Cena wykonania robót obejmuje: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a) dla rozbiórki warstw nawierzchni: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wyznaczenie powierzchni przeznaczonej do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rozkucie i zerwanie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jej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b) dla rozbiórki krawężników, obrzeży i oporników: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krawężników, obrzeży i oporników wraz z wyjęciem i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 i ew. ław,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materiału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>wyrównanie podłoża i uporządkowanie terenu rozbiórki;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t>c) dla rozbiórki ścieku: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odsłonięcie ścieku,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elementów ściekowych wraz z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uzupełnienie i wyrównanie podłoża,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wywóz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d) dla rozbiórki chodników: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płyt chodnikowych, lub rozkucie i zerwanie innych materiałów chodnikowych,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e) dla rozbiórki ogrodzeń: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ogrodzenia,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w stosy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f) dla rozbiórki barier i poręczy: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bariery lub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g) dla rozbiórki znaków drogowych: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tablic znaków drogowych ze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h) dla rozbiórki przepustu: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przepustu, fundamentów, ław, umocnień itp.,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ustawienie rusztowań i ich późniejsze rozebranie,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rozebranie elementów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sortowanie i pryzmowanie odzyskanych materiałów,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(wykopów) gruntem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rozbiórki.</w:t>
      </w:r>
    </w:p>
    <w:p w:rsidR="00A9653A" w:rsidRDefault="00A9653A">
      <w:pPr>
        <w:pStyle w:val="Nagwek1"/>
      </w:pPr>
      <w:r>
        <w:t>10. PRZEPISY ZWIĄZANE</w:t>
      </w:r>
    </w:p>
    <w:p w:rsidR="00A9653A" w:rsidRDefault="00A9653A">
      <w:pPr>
        <w:pStyle w:val="Nagwek2"/>
        <w:spacing w:before="0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394"/>
      </w:tblGrid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PN-D-95017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Surowiec drzewny. Drewno tartaczne iglaste.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iglasta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liściasta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PN-H-74219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walcowane na gorąco ogólnego stosowania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PN-H-74220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 xml:space="preserve">Rury stalowe bez szwu ciągnione i walcowane na </w:t>
            </w:r>
            <w:r>
              <w:lastRenderedPageBreak/>
              <w:t>zimno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PN-H-93401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Stal walcowana. Kątowniki równoramienne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Kątowniki nierównoramienne stalowe walcowane na gorąco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BN-87/5028-12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Gwoździe budowlane. Gwoździe z trzpieniem gładkim, okrągłym i kwadratowym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BN-77/8931-12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Oznaczenie wskaźnika zagęszczenia gruntu.</w:t>
            </w:r>
          </w:p>
        </w:tc>
      </w:tr>
    </w:tbl>
    <w:p w:rsidR="00A9653A" w:rsidRDefault="00A9653A">
      <w:pPr>
        <w:pStyle w:val="tekstost"/>
      </w:pPr>
    </w:p>
    <w:sectPr w:rsidR="00A9653A" w:rsidSect="00EE6982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B" w:rsidRDefault="0043492B">
      <w:r>
        <w:separator/>
      </w:r>
    </w:p>
  </w:endnote>
  <w:endnote w:type="continuationSeparator" w:id="0">
    <w:p w:rsidR="0043492B" w:rsidRDefault="0043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B" w:rsidRDefault="0043492B">
      <w:r>
        <w:separator/>
      </w:r>
    </w:p>
  </w:footnote>
  <w:footnote w:type="continuationSeparator" w:id="0">
    <w:p w:rsidR="0043492B" w:rsidRDefault="0043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3A" w:rsidRDefault="00A9653A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079F"/>
    <w:rsid w:val="000B11F8"/>
    <w:rsid w:val="00190B08"/>
    <w:rsid w:val="00307D06"/>
    <w:rsid w:val="0043492B"/>
    <w:rsid w:val="00493228"/>
    <w:rsid w:val="005634BA"/>
    <w:rsid w:val="008869CD"/>
    <w:rsid w:val="008C0762"/>
    <w:rsid w:val="00902C83"/>
    <w:rsid w:val="00947DCD"/>
    <w:rsid w:val="00A9653A"/>
    <w:rsid w:val="00B5304E"/>
    <w:rsid w:val="00B85F73"/>
    <w:rsid w:val="00BC7248"/>
    <w:rsid w:val="00C06483"/>
    <w:rsid w:val="00C2295D"/>
    <w:rsid w:val="00CB0E60"/>
    <w:rsid w:val="00DA3C3B"/>
    <w:rsid w:val="00DF1AF9"/>
    <w:rsid w:val="00EA079F"/>
    <w:rsid w:val="00EE6982"/>
    <w:rsid w:val="00F60FE7"/>
    <w:rsid w:val="00F8349E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E698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E6982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E6982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E6982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E698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E6982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E6982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E6982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E6982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E6982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E6982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E6982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E6982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E6982"/>
  </w:style>
  <w:style w:type="paragraph" w:customStyle="1" w:styleId="StylIwony">
    <w:name w:val="Styl Iwony"/>
    <w:basedOn w:val="Normalny"/>
    <w:rsid w:val="00EE6982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E6982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E69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E6982"/>
  </w:style>
  <w:style w:type="paragraph" w:customStyle="1" w:styleId="tekstost">
    <w:name w:val="tekst ost"/>
    <w:basedOn w:val="Normalny"/>
    <w:rsid w:val="00EE6982"/>
  </w:style>
  <w:style w:type="character" w:styleId="Odwoanieprzypisudolnego">
    <w:name w:val="footnote reference"/>
    <w:basedOn w:val="Domylnaczcionkaakapitu"/>
    <w:semiHidden/>
    <w:rsid w:val="00EE6982"/>
    <w:rPr>
      <w:vertAlign w:val="superscript"/>
    </w:rPr>
  </w:style>
  <w:style w:type="paragraph" w:customStyle="1" w:styleId="Standardowytekst">
    <w:name w:val="Standardowy.tekst"/>
    <w:rsid w:val="00EE6982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6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3</cp:revision>
  <cp:lastPrinted>2006-05-05T07:56:00Z</cp:lastPrinted>
  <dcterms:created xsi:type="dcterms:W3CDTF">2012-05-22T05:25:00Z</dcterms:created>
  <dcterms:modified xsi:type="dcterms:W3CDTF">2013-03-26T12:32:00Z</dcterms:modified>
</cp:coreProperties>
</file>