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84" w:rsidRDefault="00E85C84">
      <w:pPr>
        <w:pStyle w:val="Standardowytekst"/>
        <w:jc w:val="center"/>
        <w:rPr>
          <w:b/>
          <w:sz w:val="28"/>
        </w:rPr>
      </w:pPr>
    </w:p>
    <w:p w:rsidR="00E85C84" w:rsidRDefault="00E85C84">
      <w:pPr>
        <w:pStyle w:val="Standardowytekst"/>
        <w:jc w:val="center"/>
        <w:rPr>
          <w:b/>
          <w:sz w:val="28"/>
        </w:rPr>
      </w:pPr>
    </w:p>
    <w:p w:rsidR="00E85C84" w:rsidRDefault="00E85C84">
      <w:pPr>
        <w:pStyle w:val="Standardowytekst"/>
        <w:jc w:val="center"/>
        <w:rPr>
          <w:b/>
          <w:sz w:val="28"/>
        </w:rPr>
      </w:pPr>
    </w:p>
    <w:p w:rsidR="00E85C84" w:rsidRDefault="00E85C84">
      <w:pPr>
        <w:pStyle w:val="Standardowytekst"/>
        <w:jc w:val="center"/>
        <w:rPr>
          <w:b/>
          <w:sz w:val="28"/>
        </w:rPr>
      </w:pPr>
    </w:p>
    <w:p w:rsidR="00E85C84" w:rsidRDefault="00E85C84">
      <w:pPr>
        <w:pStyle w:val="Standardowytekst"/>
        <w:jc w:val="center"/>
        <w:rPr>
          <w:b/>
          <w:sz w:val="28"/>
        </w:rPr>
      </w:pPr>
      <w:r>
        <w:rPr>
          <w:sz w:val="28"/>
        </w:rPr>
        <w:t>SZCZEGÓŁOWE SPECYFIKACJE TECHNICZNE</w:t>
      </w:r>
    </w:p>
    <w:p w:rsidR="00E85C84" w:rsidRDefault="00E85C84">
      <w:pPr>
        <w:pStyle w:val="Standardowytekst"/>
        <w:jc w:val="center"/>
        <w:rPr>
          <w:b/>
          <w:sz w:val="28"/>
        </w:rPr>
      </w:pPr>
    </w:p>
    <w:p w:rsidR="00E85C84" w:rsidRDefault="00E85C84">
      <w:pPr>
        <w:pStyle w:val="Standardowytekst"/>
        <w:jc w:val="center"/>
        <w:rPr>
          <w:b/>
          <w:sz w:val="28"/>
        </w:rPr>
      </w:pPr>
    </w:p>
    <w:p w:rsidR="00E85C84" w:rsidRDefault="00E85C84">
      <w:pPr>
        <w:pStyle w:val="Standardowytekst"/>
        <w:jc w:val="center"/>
        <w:rPr>
          <w:b/>
          <w:sz w:val="28"/>
        </w:rPr>
      </w:pPr>
    </w:p>
    <w:p w:rsidR="00E85C84" w:rsidRDefault="00E85C84">
      <w:pPr>
        <w:pStyle w:val="Standardowytekst"/>
        <w:jc w:val="center"/>
        <w:rPr>
          <w:b/>
          <w:sz w:val="28"/>
        </w:rPr>
      </w:pPr>
    </w:p>
    <w:p w:rsidR="00E85C84" w:rsidRDefault="00E85C84">
      <w:pPr>
        <w:pStyle w:val="Standardowytekst"/>
        <w:jc w:val="center"/>
        <w:rPr>
          <w:b/>
          <w:sz w:val="28"/>
        </w:rPr>
      </w:pPr>
      <w:r>
        <w:rPr>
          <w:b/>
          <w:sz w:val="28"/>
        </w:rPr>
        <w:t>D-04.05.00</w:t>
      </w:r>
    </w:p>
    <w:p w:rsidR="00E85C84" w:rsidRDefault="00E85C84">
      <w:pPr>
        <w:pStyle w:val="Standardowytekst"/>
        <w:jc w:val="center"/>
        <w:rPr>
          <w:b/>
          <w:sz w:val="28"/>
        </w:rPr>
      </w:pPr>
    </w:p>
    <w:p w:rsidR="00E85C84" w:rsidRDefault="00E85C84">
      <w:pPr>
        <w:pStyle w:val="Standardowytekst"/>
        <w:jc w:val="center"/>
        <w:rPr>
          <w:b/>
          <w:sz w:val="28"/>
        </w:rPr>
      </w:pPr>
      <w:r>
        <w:rPr>
          <w:b/>
          <w:sz w:val="28"/>
        </w:rPr>
        <w:t>PODBUDOWA  I  ULEPSZONE  PODŁOŻE</w:t>
      </w:r>
    </w:p>
    <w:p w:rsidR="00E85C84" w:rsidRDefault="00E85C84">
      <w:pPr>
        <w:pStyle w:val="Standardowytekst"/>
        <w:jc w:val="center"/>
        <w:rPr>
          <w:b/>
          <w:sz w:val="28"/>
        </w:rPr>
      </w:pPr>
      <w:r>
        <w:rPr>
          <w:b/>
          <w:sz w:val="28"/>
        </w:rPr>
        <w:t>Z  GRUNTÓW  LUB  KRUSZYW  STABILIZOWANYCH</w:t>
      </w:r>
    </w:p>
    <w:p w:rsidR="00E85C84" w:rsidRDefault="00E85C84">
      <w:pPr>
        <w:pStyle w:val="Standardowytekst"/>
        <w:jc w:val="center"/>
        <w:rPr>
          <w:b/>
          <w:sz w:val="28"/>
        </w:rPr>
      </w:pPr>
      <w:r>
        <w:rPr>
          <w:b/>
          <w:sz w:val="28"/>
        </w:rPr>
        <w:t>SPOIWAMI  HYDRAULICZNYMI.</w:t>
      </w:r>
    </w:p>
    <w:p w:rsidR="00E85C84" w:rsidRDefault="00E85C84">
      <w:pPr>
        <w:pStyle w:val="Standardowytekst"/>
        <w:jc w:val="center"/>
        <w:rPr>
          <w:b/>
          <w:sz w:val="28"/>
        </w:rPr>
      </w:pPr>
      <w:r>
        <w:rPr>
          <w:b/>
          <w:sz w:val="28"/>
        </w:rPr>
        <w:t>WYMAGANIA  OGÓLNE</w:t>
      </w:r>
    </w:p>
    <w:p w:rsidR="00E85C84" w:rsidRDefault="00E85C84">
      <w:pPr>
        <w:pStyle w:val="Standardowytekst"/>
        <w:tabs>
          <w:tab w:val="left" w:pos="660"/>
        </w:tabs>
        <w:jc w:val="left"/>
        <w:rPr>
          <w:b/>
          <w:sz w:val="28"/>
        </w:rPr>
      </w:pPr>
    </w:p>
    <w:p w:rsidR="00E85C84" w:rsidRDefault="00E85C84">
      <w:pPr>
        <w:pStyle w:val="Standardowytekst"/>
        <w:jc w:val="center"/>
        <w:rPr>
          <w:b/>
          <w:sz w:val="28"/>
        </w:rPr>
      </w:pPr>
    </w:p>
    <w:p w:rsidR="00E85C84" w:rsidRDefault="00E85C84">
      <w:pPr>
        <w:pStyle w:val="Standardowytekst"/>
        <w:jc w:val="center"/>
        <w:rPr>
          <w:b/>
          <w:sz w:val="28"/>
        </w:rPr>
      </w:pPr>
    </w:p>
    <w:p w:rsidR="00E85C84" w:rsidRDefault="00E85C84">
      <w:pPr>
        <w:pStyle w:val="Standardowytekst"/>
        <w:jc w:val="center"/>
        <w:rPr>
          <w:b/>
          <w:sz w:val="28"/>
        </w:rPr>
      </w:pPr>
    </w:p>
    <w:p w:rsidR="00E85C84" w:rsidRDefault="00E85C84">
      <w:pPr>
        <w:pStyle w:val="Standardowytekst"/>
        <w:jc w:val="center"/>
        <w:rPr>
          <w:b/>
          <w:sz w:val="24"/>
        </w:rPr>
      </w:pPr>
    </w:p>
    <w:p w:rsidR="00E85C84" w:rsidRDefault="00E85C84">
      <w:pPr>
        <w:pStyle w:val="Standardowytekst"/>
        <w:rPr>
          <w:b/>
          <w:sz w:val="24"/>
        </w:rPr>
      </w:pPr>
    </w:p>
    <w:p w:rsidR="00E85C84" w:rsidRDefault="00E85C84">
      <w:pPr>
        <w:pStyle w:val="Standardowytekst"/>
        <w:jc w:val="center"/>
        <w:rPr>
          <w:b/>
        </w:rPr>
      </w:pPr>
    </w:p>
    <w:p w:rsidR="00E85C84" w:rsidRDefault="00E85C84">
      <w:pPr>
        <w:pStyle w:val="Standardowytekst"/>
        <w:jc w:val="center"/>
        <w:rPr>
          <w:b/>
        </w:rPr>
      </w:pPr>
    </w:p>
    <w:p w:rsidR="00E85C84" w:rsidRDefault="00E85C84">
      <w:pPr>
        <w:pStyle w:val="Standardowytekst"/>
        <w:jc w:val="center"/>
        <w:rPr>
          <w:b/>
        </w:rPr>
      </w:pPr>
    </w:p>
    <w:p w:rsidR="00E85C84" w:rsidRDefault="00E85C84">
      <w:pPr>
        <w:pStyle w:val="Standardowytekst"/>
        <w:jc w:val="center"/>
        <w:rPr>
          <w:b/>
        </w:rPr>
      </w:pPr>
    </w:p>
    <w:p w:rsidR="00E85C84" w:rsidRDefault="00E85C84">
      <w:pPr>
        <w:pStyle w:val="Standardowytekst"/>
        <w:jc w:val="center"/>
        <w:rPr>
          <w:b/>
        </w:rPr>
      </w:pPr>
    </w:p>
    <w:p w:rsidR="00E85C84" w:rsidRDefault="00386962">
      <w:pPr>
        <w:pStyle w:val="Spistreci1"/>
        <w:spacing w:before="0" w:after="0"/>
        <w:ind w:left="142"/>
        <w:rPr>
          <w:noProof/>
        </w:rPr>
      </w:pPr>
      <w:r w:rsidRPr="00386962">
        <w:rPr>
          <w:sz w:val="24"/>
        </w:rPr>
        <w:fldChar w:fldCharType="begin"/>
      </w:r>
      <w:r w:rsidR="00E85C84">
        <w:rPr>
          <w:sz w:val="24"/>
        </w:rPr>
        <w:instrText xml:space="preserve"> TOC \o "1-1" </w:instrText>
      </w:r>
      <w:r w:rsidRPr="00386962">
        <w:rPr>
          <w:sz w:val="24"/>
        </w:rPr>
        <w:fldChar w:fldCharType="separate"/>
      </w:r>
      <w:r w:rsidR="00E85C84">
        <w:rPr>
          <w:noProof/>
        </w:rPr>
        <w:t>1. WSTĘP</w:t>
      </w:r>
      <w:r w:rsidR="00E85C84">
        <w:rPr>
          <w:b w:val="0"/>
          <w:noProof/>
        </w:rPr>
        <w:tab/>
      </w:r>
    </w:p>
    <w:p w:rsidR="00E85C84" w:rsidRDefault="00E85C84">
      <w:pPr>
        <w:pStyle w:val="Spistreci1"/>
        <w:spacing w:before="0" w:after="0"/>
        <w:ind w:left="142"/>
        <w:rPr>
          <w:noProof/>
        </w:rPr>
      </w:pPr>
      <w:r>
        <w:rPr>
          <w:noProof/>
        </w:rPr>
        <w:t>2. MATERIAŁY</w:t>
      </w:r>
      <w:r>
        <w:rPr>
          <w:b w:val="0"/>
          <w:noProof/>
        </w:rPr>
        <w:tab/>
      </w:r>
    </w:p>
    <w:p w:rsidR="00E85C84" w:rsidRDefault="00E85C84">
      <w:pPr>
        <w:pStyle w:val="Spistreci1"/>
        <w:spacing w:before="0" w:after="0"/>
        <w:ind w:left="142"/>
        <w:rPr>
          <w:noProof/>
        </w:rPr>
      </w:pPr>
      <w:r>
        <w:rPr>
          <w:noProof/>
        </w:rPr>
        <w:t>3. SPRZĘT</w:t>
      </w:r>
      <w:r>
        <w:rPr>
          <w:b w:val="0"/>
          <w:noProof/>
        </w:rPr>
        <w:tab/>
      </w:r>
    </w:p>
    <w:p w:rsidR="00E85C84" w:rsidRDefault="00E85C84">
      <w:pPr>
        <w:pStyle w:val="Spistreci1"/>
        <w:spacing w:before="0" w:after="0"/>
        <w:ind w:left="142"/>
        <w:rPr>
          <w:noProof/>
        </w:rPr>
      </w:pPr>
      <w:r>
        <w:rPr>
          <w:noProof/>
        </w:rPr>
        <w:t>4. TRANSPORT</w:t>
      </w:r>
      <w:r>
        <w:rPr>
          <w:b w:val="0"/>
          <w:noProof/>
        </w:rPr>
        <w:tab/>
      </w:r>
    </w:p>
    <w:p w:rsidR="00E85C84" w:rsidRDefault="00E85C84">
      <w:pPr>
        <w:pStyle w:val="Spistreci1"/>
        <w:spacing w:before="0" w:after="0"/>
        <w:ind w:left="142"/>
        <w:rPr>
          <w:noProof/>
        </w:rPr>
      </w:pPr>
      <w:r>
        <w:rPr>
          <w:noProof/>
        </w:rPr>
        <w:t>5. WYKONANIE ROBÓT</w:t>
      </w:r>
      <w:r>
        <w:rPr>
          <w:b w:val="0"/>
          <w:noProof/>
        </w:rPr>
        <w:tab/>
      </w:r>
    </w:p>
    <w:p w:rsidR="00E85C84" w:rsidRDefault="00E85C84">
      <w:pPr>
        <w:pStyle w:val="Spistreci1"/>
        <w:spacing w:before="0" w:after="0"/>
        <w:ind w:left="142"/>
        <w:rPr>
          <w:noProof/>
        </w:rPr>
      </w:pPr>
      <w:r>
        <w:rPr>
          <w:noProof/>
        </w:rPr>
        <w:t>6. KONTROLA JAKOŚCI ROBÓT</w:t>
      </w:r>
      <w:r>
        <w:rPr>
          <w:b w:val="0"/>
          <w:noProof/>
        </w:rPr>
        <w:tab/>
      </w:r>
    </w:p>
    <w:p w:rsidR="00E85C84" w:rsidRDefault="00E85C84">
      <w:pPr>
        <w:pStyle w:val="Spistreci1"/>
        <w:spacing w:before="0" w:after="0"/>
        <w:ind w:left="142"/>
        <w:rPr>
          <w:noProof/>
        </w:rPr>
      </w:pPr>
      <w:r>
        <w:rPr>
          <w:noProof/>
        </w:rPr>
        <w:t>7. OBMIAR ROBÓT</w:t>
      </w:r>
      <w:r>
        <w:rPr>
          <w:b w:val="0"/>
          <w:noProof/>
        </w:rPr>
        <w:tab/>
      </w:r>
    </w:p>
    <w:p w:rsidR="00E85C84" w:rsidRDefault="00E85C84">
      <w:pPr>
        <w:pStyle w:val="Spistreci1"/>
        <w:spacing w:before="0" w:after="0"/>
        <w:ind w:left="142"/>
        <w:rPr>
          <w:noProof/>
        </w:rPr>
      </w:pPr>
      <w:r>
        <w:rPr>
          <w:noProof/>
        </w:rPr>
        <w:t>8. ODBIÓR ROBÓT</w:t>
      </w:r>
      <w:r>
        <w:rPr>
          <w:b w:val="0"/>
          <w:noProof/>
        </w:rPr>
        <w:tab/>
      </w:r>
    </w:p>
    <w:p w:rsidR="00E85C84" w:rsidRDefault="00E85C84">
      <w:pPr>
        <w:pStyle w:val="Spistreci1"/>
        <w:spacing w:before="0" w:after="0"/>
        <w:ind w:left="142"/>
        <w:rPr>
          <w:noProof/>
        </w:rPr>
      </w:pPr>
      <w:r>
        <w:rPr>
          <w:noProof/>
        </w:rPr>
        <w:t>9. PODSTAWA PŁATNOŚCI</w:t>
      </w:r>
      <w:r>
        <w:rPr>
          <w:b w:val="0"/>
          <w:noProof/>
        </w:rPr>
        <w:tab/>
      </w:r>
    </w:p>
    <w:p w:rsidR="00E85C84" w:rsidRDefault="00E85C84">
      <w:pPr>
        <w:pStyle w:val="Spistreci1"/>
        <w:spacing w:before="0" w:after="0"/>
        <w:rPr>
          <w:noProof/>
        </w:rPr>
      </w:pPr>
      <w:r>
        <w:rPr>
          <w:noProof/>
        </w:rPr>
        <w:t xml:space="preserve"> 10. PRZEPISY ZWIĄZANE</w:t>
      </w:r>
      <w:r>
        <w:rPr>
          <w:b w:val="0"/>
          <w:noProof/>
        </w:rPr>
        <w:tab/>
      </w:r>
    </w:p>
    <w:p w:rsidR="00E85C84" w:rsidRDefault="00E85C84">
      <w:pPr>
        <w:pStyle w:val="Spistreci1"/>
        <w:spacing w:before="0" w:after="0"/>
        <w:ind w:left="142"/>
        <w:rPr>
          <w:noProof/>
        </w:rPr>
      </w:pPr>
    </w:p>
    <w:p w:rsidR="00E85C84" w:rsidRDefault="00386962">
      <w:pPr>
        <w:tabs>
          <w:tab w:val="left" w:pos="284"/>
          <w:tab w:val="right" w:leader="dot" w:pos="8789"/>
        </w:tabs>
        <w:ind w:left="90"/>
        <w:jc w:val="center"/>
        <w:rPr>
          <w:b/>
        </w:rPr>
      </w:pPr>
      <w:r>
        <w:rPr>
          <w:sz w:val="24"/>
        </w:rPr>
        <w:fldChar w:fldCharType="end"/>
      </w:r>
    </w:p>
    <w:p w:rsidR="00E85C84" w:rsidRDefault="00E85C84">
      <w:pPr>
        <w:pStyle w:val="Nagwek1"/>
      </w:pPr>
      <w:r>
        <w:rPr>
          <w:b w:val="0"/>
        </w:rPr>
        <w:br w:type="page"/>
      </w:r>
      <w:r>
        <w:lastRenderedPageBreak/>
        <w:t>1. WSTĘP</w:t>
      </w:r>
    </w:p>
    <w:p w:rsidR="00E85C84" w:rsidRDefault="00E85C84">
      <w:pPr>
        <w:pStyle w:val="Nagwek2"/>
      </w:pPr>
      <w:bookmarkStart w:id="0" w:name="_Toc405704473"/>
      <w:bookmarkStart w:id="1" w:name="_Toc405780134"/>
      <w:bookmarkStart w:id="2" w:name="_Toc406295846"/>
      <w:bookmarkStart w:id="3" w:name="_Toc406913835"/>
      <w:bookmarkStart w:id="4" w:name="_Toc406914080"/>
      <w:bookmarkStart w:id="5" w:name="_Toc406914738"/>
      <w:bookmarkStart w:id="6" w:name="_Toc406915316"/>
      <w:bookmarkStart w:id="7" w:name="_Toc406984009"/>
      <w:bookmarkStart w:id="8" w:name="_Toc406984156"/>
      <w:bookmarkStart w:id="9" w:name="_Toc406984347"/>
      <w:bookmarkStart w:id="10" w:name="_Toc407069555"/>
      <w:bookmarkStart w:id="11" w:name="_Toc407081520"/>
      <w:bookmarkStart w:id="12" w:name="_Toc407083319"/>
      <w:bookmarkStart w:id="13" w:name="_Toc407084153"/>
      <w:bookmarkStart w:id="14" w:name="_Toc407085272"/>
      <w:bookmarkStart w:id="15" w:name="_Toc407085415"/>
      <w:bookmarkStart w:id="16" w:name="_Toc407085558"/>
      <w:bookmarkStart w:id="17" w:name="_Toc407086006"/>
      <w:r>
        <w:t>1.1. Przedmiot SST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E85C84" w:rsidRDefault="00E85C84">
      <w:r>
        <w:tab/>
        <w:t>Przedmiotem niniejszej szczegółowej specyfikacji technicznej (SST) są wymagania ogólne dotyczące wykonania i odbioru robót związanych z wykonywaniem podbudowy i ulepszonego podłoża z gruntów lub kruszyw stabilizowanych spoiwami hydraulicznymi.</w:t>
      </w:r>
    </w:p>
    <w:p w:rsidR="00E85C84" w:rsidRDefault="00E85C84">
      <w:pPr>
        <w:pStyle w:val="Nagwek2"/>
      </w:pPr>
      <w:bookmarkStart w:id="18" w:name="_Toc405704474"/>
      <w:bookmarkStart w:id="19" w:name="_Toc405780135"/>
      <w:bookmarkStart w:id="20" w:name="_Toc406295847"/>
      <w:bookmarkStart w:id="21" w:name="_Toc406913836"/>
      <w:bookmarkStart w:id="22" w:name="_Toc406914081"/>
      <w:bookmarkStart w:id="23" w:name="_Toc406914739"/>
      <w:bookmarkStart w:id="24" w:name="_Toc406915317"/>
      <w:bookmarkStart w:id="25" w:name="_Toc406984010"/>
      <w:bookmarkStart w:id="26" w:name="_Toc406984157"/>
      <w:bookmarkStart w:id="27" w:name="_Toc406984348"/>
      <w:bookmarkStart w:id="28" w:name="_Toc407069556"/>
      <w:bookmarkStart w:id="29" w:name="_Toc407081521"/>
      <w:bookmarkStart w:id="30" w:name="_Toc407083320"/>
      <w:bookmarkStart w:id="31" w:name="_Toc407084154"/>
      <w:bookmarkStart w:id="32" w:name="_Toc407085273"/>
      <w:bookmarkStart w:id="33" w:name="_Toc407085416"/>
      <w:bookmarkStart w:id="34" w:name="_Toc407085559"/>
      <w:bookmarkStart w:id="35" w:name="_Toc407086007"/>
      <w:r>
        <w:t>1.2. Zakres stosowania SST</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E85C84" w:rsidRDefault="00E85C84" w:rsidP="002E3851">
      <w:pPr>
        <w:pStyle w:val="tekstost"/>
      </w:pPr>
      <w:r>
        <w:tab/>
        <w:t xml:space="preserve">Szczegółowa specyfikacja techniczna (SST) stanowi obowiązujący dokument przetargowy i kontraktowy przy zlecaniu i realizacji robót na drogach </w:t>
      </w:r>
      <w:r>
        <w:tab/>
      </w:r>
      <w:r w:rsidR="00C3593C">
        <w:t xml:space="preserve">– PRZEBUDOWA   CIĄGU PIESZEGO WZDŁUŻ RZECZKI OLSZYNKI w Czempiniu.  </w:t>
      </w:r>
    </w:p>
    <w:p w:rsidR="00E85C84" w:rsidRDefault="00E85C84">
      <w:pPr>
        <w:pStyle w:val="Nagwek2"/>
      </w:pPr>
      <w:bookmarkStart w:id="36" w:name="_Toc405704475"/>
      <w:bookmarkStart w:id="37" w:name="_Toc405780136"/>
      <w:bookmarkStart w:id="38" w:name="_Toc406295848"/>
      <w:bookmarkStart w:id="39" w:name="_Toc406913837"/>
      <w:bookmarkStart w:id="40" w:name="_Toc406914082"/>
      <w:bookmarkStart w:id="41" w:name="_Toc406914740"/>
      <w:bookmarkStart w:id="42" w:name="_Toc406915318"/>
      <w:bookmarkStart w:id="43" w:name="_Toc406984011"/>
      <w:bookmarkStart w:id="44" w:name="_Toc406984158"/>
      <w:bookmarkStart w:id="45" w:name="_Toc406984349"/>
      <w:bookmarkStart w:id="46" w:name="_Toc407069557"/>
      <w:bookmarkStart w:id="47" w:name="_Toc407081522"/>
      <w:bookmarkStart w:id="48" w:name="_Toc407083321"/>
      <w:bookmarkStart w:id="49" w:name="_Toc407084155"/>
      <w:bookmarkStart w:id="50" w:name="_Toc407085274"/>
      <w:bookmarkStart w:id="51" w:name="_Toc407085417"/>
      <w:bookmarkStart w:id="52" w:name="_Toc407085560"/>
      <w:bookmarkStart w:id="53" w:name="_Toc407086008"/>
      <w:r>
        <w:t>1.3. Zakres robót objętych SST</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E85C84" w:rsidRDefault="00E85C84">
      <w:r>
        <w:tab/>
        <w:t>Ustalenia zawarte w niniejszej specyfikacji dotyczą zasad prowadzenia robót związanych z wykonaniem i odbiorem podbudów i ulepszonego podłoża z gruntów lub kruszyw stabilizowanych spoiwami hydraulicznymi i obejmują SST:</w:t>
      </w:r>
    </w:p>
    <w:tbl>
      <w:tblPr>
        <w:tblW w:w="0" w:type="auto"/>
        <w:tblLayout w:type="fixed"/>
        <w:tblCellMar>
          <w:left w:w="70" w:type="dxa"/>
          <w:right w:w="70" w:type="dxa"/>
        </w:tblCellMar>
        <w:tblLook w:val="0000"/>
      </w:tblPr>
      <w:tblGrid>
        <w:gridCol w:w="1150"/>
        <w:gridCol w:w="6360"/>
      </w:tblGrid>
      <w:tr w:rsidR="00E85C84">
        <w:tc>
          <w:tcPr>
            <w:tcW w:w="1150" w:type="dxa"/>
          </w:tcPr>
          <w:p w:rsidR="00E85C84" w:rsidRDefault="00E85C84">
            <w:r>
              <w:t>D-04.05.01</w:t>
            </w:r>
          </w:p>
        </w:tc>
        <w:tc>
          <w:tcPr>
            <w:tcW w:w="6360" w:type="dxa"/>
          </w:tcPr>
          <w:p w:rsidR="00E85C84" w:rsidRDefault="00E85C84">
            <w:r>
              <w:t>Podbudowa i ulepszone podłoże z gruntu lub kruszywa stabilizowanego cementem</w:t>
            </w:r>
          </w:p>
        </w:tc>
      </w:tr>
      <w:tr w:rsidR="00E85C84">
        <w:tc>
          <w:tcPr>
            <w:tcW w:w="1150" w:type="dxa"/>
          </w:tcPr>
          <w:p w:rsidR="00E85C84" w:rsidRDefault="00E85C84">
            <w:r>
              <w:t>D-04.05.02</w:t>
            </w:r>
          </w:p>
        </w:tc>
        <w:tc>
          <w:tcPr>
            <w:tcW w:w="6360" w:type="dxa"/>
          </w:tcPr>
          <w:p w:rsidR="00E85C84" w:rsidRDefault="00E85C84">
            <w:r>
              <w:t>Podbudowa i ulepszone podłoże z gruntu stabilizowanego wapnem</w:t>
            </w:r>
          </w:p>
        </w:tc>
      </w:tr>
      <w:tr w:rsidR="00E85C84">
        <w:tc>
          <w:tcPr>
            <w:tcW w:w="1150" w:type="dxa"/>
          </w:tcPr>
          <w:p w:rsidR="00E85C84" w:rsidRDefault="00E85C84">
            <w:r>
              <w:t>D-04.05.03</w:t>
            </w:r>
          </w:p>
        </w:tc>
        <w:tc>
          <w:tcPr>
            <w:tcW w:w="6360" w:type="dxa"/>
          </w:tcPr>
          <w:p w:rsidR="00E85C84" w:rsidRDefault="00E85C84">
            <w:r>
              <w:t>Podbudowa i ulepszone podłoże z gruntu stabilizowanego aktywnymi popiołami lotnymi</w:t>
            </w:r>
          </w:p>
        </w:tc>
      </w:tr>
      <w:tr w:rsidR="00E85C84">
        <w:tc>
          <w:tcPr>
            <w:tcW w:w="1150" w:type="dxa"/>
          </w:tcPr>
          <w:p w:rsidR="00E85C84" w:rsidRDefault="00E85C84">
            <w:r>
              <w:t>D-04.05.04</w:t>
            </w:r>
          </w:p>
        </w:tc>
        <w:tc>
          <w:tcPr>
            <w:tcW w:w="6360" w:type="dxa"/>
          </w:tcPr>
          <w:p w:rsidR="00E85C84" w:rsidRDefault="00E85C84">
            <w:r>
              <w:t>Podbudowa i ulepszone podłoże z gruntu lub kruszywa stabilizowanego wielkopiecowym żużlem granulowanym.</w:t>
            </w:r>
          </w:p>
        </w:tc>
      </w:tr>
    </w:tbl>
    <w:p w:rsidR="00E85C84" w:rsidRDefault="00E85C84">
      <w:r>
        <w:tab/>
        <w:t>Podbudowę z gruntów lub kruszyw stabilizowanych spoiwami hydraulicznymi wykonuje się, zgodnie z ustaleniami podanymi w dokumentacji projektowej, jako:</w:t>
      </w:r>
    </w:p>
    <w:p w:rsidR="00E85C84" w:rsidRDefault="00E85C84" w:rsidP="00DC16EB">
      <w:pPr>
        <w:numPr>
          <w:ilvl w:val="0"/>
          <w:numId w:val="1"/>
        </w:numPr>
      </w:pPr>
      <w:r>
        <w:t>podbudowę zasadniczą,</w:t>
      </w:r>
    </w:p>
    <w:p w:rsidR="00E85C84" w:rsidRDefault="00E85C84" w:rsidP="00DC16EB">
      <w:pPr>
        <w:numPr>
          <w:ilvl w:val="0"/>
          <w:numId w:val="1"/>
        </w:numPr>
      </w:pPr>
      <w:r>
        <w:t>podbudowę pomocniczą.</w:t>
      </w:r>
    </w:p>
    <w:p w:rsidR="00E85C84" w:rsidRDefault="00E85C84">
      <w:pPr>
        <w:pStyle w:val="Nagwek2"/>
      </w:pPr>
      <w:bookmarkStart w:id="54" w:name="_Toc405704476"/>
      <w:bookmarkStart w:id="55" w:name="_Toc405780137"/>
      <w:bookmarkStart w:id="56" w:name="_Toc406295849"/>
      <w:bookmarkStart w:id="57" w:name="_Toc406913838"/>
      <w:bookmarkStart w:id="58" w:name="_Toc406914083"/>
      <w:bookmarkStart w:id="59" w:name="_Toc406914741"/>
      <w:bookmarkStart w:id="60" w:name="_Toc406915319"/>
      <w:bookmarkStart w:id="61" w:name="_Toc406984012"/>
      <w:bookmarkStart w:id="62" w:name="_Toc406984159"/>
      <w:bookmarkStart w:id="63" w:name="_Toc406984350"/>
      <w:bookmarkStart w:id="64" w:name="_Toc407069558"/>
      <w:bookmarkStart w:id="65" w:name="_Toc407081523"/>
      <w:bookmarkStart w:id="66" w:name="_Toc407083322"/>
      <w:bookmarkStart w:id="67" w:name="_Toc407084156"/>
      <w:bookmarkStart w:id="68" w:name="_Toc407085275"/>
      <w:bookmarkStart w:id="69" w:name="_Toc407085418"/>
      <w:bookmarkStart w:id="70" w:name="_Toc407085561"/>
      <w:bookmarkStart w:id="71" w:name="_Toc407086009"/>
      <w:r>
        <w:t>1.4. Określenia podstawowe</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E85C84" w:rsidRDefault="00E85C84">
      <w:r>
        <w:tab/>
        <w:t xml:space="preserve">Określenia podstawowe są zgodne z obowiązującymi, odpowiednimi polskimi normami oraz z definicjami podanymi w SST D-M-00.00.00 „Wymagania ogólne” </w:t>
      </w:r>
      <w:proofErr w:type="spellStart"/>
      <w:r>
        <w:t>pkt</w:t>
      </w:r>
      <w:proofErr w:type="spellEnd"/>
      <w:r>
        <w:t xml:space="preserve"> 1.4 oraz w SST wymienionych w </w:t>
      </w:r>
      <w:proofErr w:type="spellStart"/>
      <w:r>
        <w:t>pkt</w:t>
      </w:r>
      <w:proofErr w:type="spellEnd"/>
      <w:r>
        <w:t xml:space="preserve"> 1.3, dotyczących poszczególnych rodzajów podbudów i ulepszonego podłoża z gruntów lub kruszyw stabilizowanych spoiwami hydraulicznymi.</w:t>
      </w:r>
    </w:p>
    <w:p w:rsidR="00E85C84" w:rsidRDefault="00E85C84">
      <w:pPr>
        <w:pStyle w:val="Nagwek2"/>
      </w:pPr>
      <w:bookmarkStart w:id="72" w:name="_Toc405704477"/>
      <w:bookmarkStart w:id="73" w:name="_Toc405780138"/>
      <w:bookmarkStart w:id="74" w:name="_Toc406295850"/>
      <w:bookmarkStart w:id="75" w:name="_Toc406913839"/>
      <w:bookmarkStart w:id="76" w:name="_Toc406914084"/>
      <w:bookmarkStart w:id="77" w:name="_Toc406914742"/>
      <w:bookmarkStart w:id="78" w:name="_Toc406915320"/>
      <w:bookmarkStart w:id="79" w:name="_Toc406984013"/>
      <w:bookmarkStart w:id="80" w:name="_Toc406984160"/>
      <w:bookmarkStart w:id="81" w:name="_Toc406984351"/>
      <w:bookmarkStart w:id="82" w:name="_Toc407069559"/>
      <w:bookmarkStart w:id="83" w:name="_Toc407081524"/>
      <w:bookmarkStart w:id="84" w:name="_Toc407083323"/>
      <w:bookmarkStart w:id="85" w:name="_Toc407084157"/>
      <w:bookmarkStart w:id="86" w:name="_Toc407085276"/>
      <w:bookmarkStart w:id="87" w:name="_Toc407085419"/>
      <w:bookmarkStart w:id="88" w:name="_Toc407085562"/>
      <w:bookmarkStart w:id="89" w:name="_Toc407086010"/>
      <w:r>
        <w:t>1.5. Ogólne wymagania dotyczące robót</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E85C84" w:rsidRDefault="00E85C84">
      <w:pPr>
        <w:pStyle w:val="tekstost"/>
      </w:pPr>
      <w:r>
        <w:tab/>
        <w:t xml:space="preserve">Ogólne wymagania dotyczące robót podano w SST D-M-00.00.00 „Wymagania ogólne” </w:t>
      </w:r>
      <w:proofErr w:type="spellStart"/>
      <w:r>
        <w:t>pkt</w:t>
      </w:r>
      <w:proofErr w:type="spellEnd"/>
      <w:r>
        <w:t xml:space="preserve"> 1.5.</w:t>
      </w:r>
    </w:p>
    <w:p w:rsidR="00E85C84" w:rsidRDefault="00E85C84">
      <w:pPr>
        <w:pStyle w:val="Nagwek1"/>
      </w:pPr>
      <w:r>
        <w:t>2. materiały</w:t>
      </w:r>
    </w:p>
    <w:p w:rsidR="00E85C84" w:rsidRDefault="00E85C84">
      <w:pPr>
        <w:pStyle w:val="Nagwek2"/>
      </w:pPr>
      <w:r>
        <w:t>2.1. Ogólne wymagania dotyczące materiałów</w:t>
      </w:r>
    </w:p>
    <w:p w:rsidR="00E85C84" w:rsidRDefault="00E85C84">
      <w:r>
        <w:tab/>
        <w:t xml:space="preserve">Ogólne wymagania dotyczące materiałów, ich pozyskiwania i składowania, podano w SST D-M-00.00.00 „Wymagania ogólne” </w:t>
      </w:r>
      <w:proofErr w:type="spellStart"/>
      <w:r>
        <w:t>pkt</w:t>
      </w:r>
      <w:proofErr w:type="spellEnd"/>
      <w:r>
        <w:t xml:space="preserve"> 2.</w:t>
      </w:r>
    </w:p>
    <w:p w:rsidR="00E85C84" w:rsidRDefault="00E85C84">
      <w:pPr>
        <w:pStyle w:val="Nagwek2"/>
      </w:pPr>
      <w:r>
        <w:t>2.2. Rodzaje materiałów</w:t>
      </w:r>
    </w:p>
    <w:p w:rsidR="00E85C84" w:rsidRDefault="00E85C84">
      <w:r>
        <w:tab/>
        <w:t xml:space="preserve">Materiały stosowane podano w SST wymienionych w </w:t>
      </w:r>
      <w:proofErr w:type="spellStart"/>
      <w:r>
        <w:t>pkt</w:t>
      </w:r>
      <w:proofErr w:type="spellEnd"/>
      <w:r>
        <w:t xml:space="preserve"> 1.3, dotyczących poszczególnych rodzajów podbudów i ulepszonego podłoża z gruntów lub kruszyw stabilizowanych spoiwami hydraulicznymi.</w:t>
      </w:r>
    </w:p>
    <w:p w:rsidR="00E85C84" w:rsidRDefault="00E85C84">
      <w:pPr>
        <w:pStyle w:val="Nagwek1"/>
      </w:pPr>
      <w:r>
        <w:t>3. sprzęt</w:t>
      </w:r>
    </w:p>
    <w:p w:rsidR="00E85C84" w:rsidRDefault="00E85C84">
      <w:pPr>
        <w:pStyle w:val="Nagwek2"/>
      </w:pPr>
      <w:r>
        <w:t>3.1. Ogólne wymagania dotyczące sprzętu</w:t>
      </w:r>
    </w:p>
    <w:p w:rsidR="00E85C84" w:rsidRDefault="00E85C84">
      <w:pPr>
        <w:ind w:firstLine="709"/>
      </w:pPr>
      <w:r>
        <w:t xml:space="preserve">Ogólne wymagania dotyczące sprzętu podano w SST D-M-00.00.00 „Wymagania ogólne” </w:t>
      </w:r>
      <w:proofErr w:type="spellStart"/>
      <w:r>
        <w:t>pkt</w:t>
      </w:r>
      <w:proofErr w:type="spellEnd"/>
      <w:r>
        <w:t xml:space="preserve"> 3.</w:t>
      </w:r>
    </w:p>
    <w:p w:rsidR="00E85C84" w:rsidRDefault="00E85C84">
      <w:pPr>
        <w:pStyle w:val="Nagwek2"/>
      </w:pPr>
      <w:r>
        <w:lastRenderedPageBreak/>
        <w:t>3.2. Sprzęt do wykonania robót</w:t>
      </w:r>
    </w:p>
    <w:p w:rsidR="00E85C84" w:rsidRDefault="00E85C84">
      <w:r>
        <w:tab/>
        <w:t>Wykonawca przystępujący do wykonania podbudowy lub ulepszonego podłoża stabilizowanego spoiwami powinien wykazać się możliwością korzystania z następującego sprzętu:</w:t>
      </w:r>
    </w:p>
    <w:p w:rsidR="00E85C84" w:rsidRDefault="00E85C84" w:rsidP="00DC16EB">
      <w:pPr>
        <w:numPr>
          <w:ilvl w:val="0"/>
          <w:numId w:val="2"/>
        </w:numPr>
      </w:pPr>
      <w:r>
        <w:t>w przypadku wytwarzania mieszanek kruszywowo-spoiwowych w mieszarkach:</w:t>
      </w:r>
    </w:p>
    <w:p w:rsidR="00E85C84" w:rsidRDefault="00E85C84" w:rsidP="00DC16EB">
      <w:pPr>
        <w:numPr>
          <w:ilvl w:val="0"/>
          <w:numId w:val="1"/>
        </w:numPr>
      </w:pPr>
      <w:r>
        <w:t>mieszarek stacjonarnych,</w:t>
      </w:r>
    </w:p>
    <w:p w:rsidR="00E85C84" w:rsidRDefault="00E85C84" w:rsidP="00DC16EB">
      <w:pPr>
        <w:numPr>
          <w:ilvl w:val="0"/>
          <w:numId w:val="1"/>
        </w:numPr>
      </w:pPr>
      <w:r>
        <w:t>układarek lub równiarek do rozkładania mieszanki,</w:t>
      </w:r>
    </w:p>
    <w:p w:rsidR="00E85C84" w:rsidRDefault="00E85C84" w:rsidP="00DC16EB">
      <w:pPr>
        <w:numPr>
          <w:ilvl w:val="0"/>
          <w:numId w:val="1"/>
        </w:numPr>
      </w:pPr>
      <w:r>
        <w:t>walców ogumionych i stalowych wibracyjnych lub statycznych do zagęszczania,</w:t>
      </w:r>
    </w:p>
    <w:p w:rsidR="00E85C84" w:rsidRDefault="00E85C84" w:rsidP="00DC16EB">
      <w:pPr>
        <w:numPr>
          <w:ilvl w:val="0"/>
          <w:numId w:val="1"/>
        </w:numPr>
      </w:pPr>
      <w:r>
        <w:t>zagęszczarek płytowych, ubijaków mechanicznych lub małych walców wibracyjnych do zagęszczania w miejscach trudnodostępnych,</w:t>
      </w:r>
    </w:p>
    <w:p w:rsidR="00E85C84" w:rsidRDefault="00E85C84" w:rsidP="00DC16EB">
      <w:pPr>
        <w:numPr>
          <w:ilvl w:val="0"/>
          <w:numId w:val="2"/>
        </w:numPr>
      </w:pPr>
      <w:r>
        <w:t>w przypadku wytwarzania mieszanek gruntowo-spoiwowych na miejscu:</w:t>
      </w:r>
    </w:p>
    <w:p w:rsidR="00E85C84" w:rsidRDefault="00E85C84" w:rsidP="00DC16EB">
      <w:pPr>
        <w:numPr>
          <w:ilvl w:val="0"/>
          <w:numId w:val="1"/>
        </w:numPr>
      </w:pPr>
      <w:r>
        <w:t>mieszarek jedno lub wielowirnikowych do wymieszania gruntu ze spoiwami,</w:t>
      </w:r>
    </w:p>
    <w:p w:rsidR="00E85C84" w:rsidRDefault="00E85C84" w:rsidP="00DC16EB">
      <w:pPr>
        <w:numPr>
          <w:ilvl w:val="0"/>
          <w:numId w:val="1"/>
        </w:numPr>
      </w:pPr>
      <w:r>
        <w:t>spycharek, równiarek lub sprzętu rolniczego (pługi, brony, kultywatory) do spulchniania gruntu,</w:t>
      </w:r>
    </w:p>
    <w:p w:rsidR="00E85C84" w:rsidRDefault="00E85C84" w:rsidP="00DC16EB">
      <w:pPr>
        <w:numPr>
          <w:ilvl w:val="0"/>
          <w:numId w:val="1"/>
        </w:numPr>
      </w:pPr>
      <w:r>
        <w:t>ciężkich szablonów do wyprofilowania warstwy,</w:t>
      </w:r>
    </w:p>
    <w:p w:rsidR="00E85C84" w:rsidRDefault="00E85C84" w:rsidP="00DC16EB">
      <w:pPr>
        <w:numPr>
          <w:ilvl w:val="0"/>
          <w:numId w:val="1"/>
        </w:numPr>
      </w:pPr>
      <w:proofErr w:type="spellStart"/>
      <w:r>
        <w:t>rozsypywarek</w:t>
      </w:r>
      <w:proofErr w:type="spellEnd"/>
      <w:r>
        <w:t xml:space="preserve"> wyposażonych w osłony </w:t>
      </w:r>
      <w:proofErr w:type="spellStart"/>
      <w:r>
        <w:t>przeciwpylne</w:t>
      </w:r>
      <w:proofErr w:type="spellEnd"/>
      <w:r>
        <w:t xml:space="preserve"> i szczeliny o regulowanej szerokości do rozsypywania spoiw,</w:t>
      </w:r>
    </w:p>
    <w:p w:rsidR="00E85C84" w:rsidRDefault="00E85C84" w:rsidP="00DC16EB">
      <w:pPr>
        <w:numPr>
          <w:ilvl w:val="0"/>
          <w:numId w:val="1"/>
        </w:numPr>
      </w:pPr>
      <w:r>
        <w:t>przewoźnych zbiorników na wodę, wyposażonych w urządzenia do równomiernego i kontrolowanego dozowania wody,</w:t>
      </w:r>
    </w:p>
    <w:p w:rsidR="00E85C84" w:rsidRDefault="00E85C84" w:rsidP="00DC16EB">
      <w:pPr>
        <w:numPr>
          <w:ilvl w:val="0"/>
          <w:numId w:val="1"/>
        </w:numPr>
      </w:pPr>
      <w:r>
        <w:t>walców ogumionych i stalowych wibracyjnych lub statycznych do zagęszczania,</w:t>
      </w:r>
    </w:p>
    <w:p w:rsidR="00E85C84" w:rsidRDefault="00E85C84" w:rsidP="00DC16EB">
      <w:pPr>
        <w:numPr>
          <w:ilvl w:val="0"/>
          <w:numId w:val="1"/>
        </w:numPr>
      </w:pPr>
      <w:r>
        <w:t>zagęszczarek płytowych, ubijaków mechanicznych lub małych walców wibracyjnych do zagęszczania w miejscach trudnodostępnych.</w:t>
      </w:r>
    </w:p>
    <w:p w:rsidR="00E85C84" w:rsidRDefault="00E85C84" w:rsidP="00DC16EB">
      <w:pPr>
        <w:pStyle w:val="Nagwek1"/>
        <w:numPr>
          <w:ilvl w:val="12"/>
          <w:numId w:val="0"/>
        </w:numPr>
      </w:pPr>
      <w:r>
        <w:t>4. transport</w:t>
      </w:r>
    </w:p>
    <w:p w:rsidR="00E85C84" w:rsidRDefault="00E85C84" w:rsidP="00DC16EB">
      <w:pPr>
        <w:pStyle w:val="Nagwek2"/>
        <w:numPr>
          <w:ilvl w:val="12"/>
          <w:numId w:val="0"/>
        </w:numPr>
      </w:pPr>
      <w:r>
        <w:t>4.1. Ogólne wymagania dotyczące transportu</w:t>
      </w:r>
    </w:p>
    <w:p w:rsidR="00E85C84" w:rsidRDefault="00E85C84" w:rsidP="00DC16EB">
      <w:pPr>
        <w:numPr>
          <w:ilvl w:val="12"/>
          <w:numId w:val="0"/>
        </w:numPr>
        <w:ind w:firstLine="709"/>
      </w:pPr>
      <w:r>
        <w:t xml:space="preserve">Ogólne wymagania dotyczące transportu podano w SST D-M-00.00.00 „Wymagania ogólne” </w:t>
      </w:r>
      <w:proofErr w:type="spellStart"/>
      <w:r>
        <w:t>pkt</w:t>
      </w:r>
      <w:proofErr w:type="spellEnd"/>
      <w:r>
        <w:t xml:space="preserve"> 4.</w:t>
      </w:r>
    </w:p>
    <w:p w:rsidR="00E85C84" w:rsidRDefault="00E85C84" w:rsidP="00DC16EB">
      <w:pPr>
        <w:pStyle w:val="Nagwek2"/>
        <w:numPr>
          <w:ilvl w:val="12"/>
          <w:numId w:val="0"/>
        </w:numPr>
      </w:pPr>
      <w:r>
        <w:t>4.2. Transport materiałów</w:t>
      </w:r>
    </w:p>
    <w:p w:rsidR="00E85C84" w:rsidRDefault="00E85C84" w:rsidP="00DC16EB">
      <w:pPr>
        <w:numPr>
          <w:ilvl w:val="12"/>
          <w:numId w:val="0"/>
        </w:numPr>
      </w:pPr>
      <w:r>
        <w:tab/>
        <w:t>Transport cementu powinien odbywać się zgodnie z BN-88/6731-08 [19].</w:t>
      </w:r>
    </w:p>
    <w:p w:rsidR="00E85C84" w:rsidRDefault="00E85C84" w:rsidP="00DC16EB">
      <w:pPr>
        <w:numPr>
          <w:ilvl w:val="12"/>
          <w:numId w:val="0"/>
        </w:numPr>
      </w:pPr>
      <w:r>
        <w:tab/>
        <w:t>Transport wapna powinien odbywać się zgodnie z PN-B-30020 [12].</w:t>
      </w:r>
    </w:p>
    <w:p w:rsidR="00E85C84" w:rsidRDefault="00E85C84" w:rsidP="00DC16EB">
      <w:pPr>
        <w:pStyle w:val="tekstost"/>
        <w:numPr>
          <w:ilvl w:val="12"/>
          <w:numId w:val="0"/>
        </w:numPr>
      </w:pPr>
      <w:r>
        <w:tab/>
        <w:t>Transport popiołów lotnych powinien odbywać się zgodnie z PN-S-96035 [18].</w:t>
      </w:r>
    </w:p>
    <w:p w:rsidR="00E85C84" w:rsidRDefault="00E85C84" w:rsidP="00DC16EB">
      <w:pPr>
        <w:pStyle w:val="tekstost"/>
        <w:numPr>
          <w:ilvl w:val="12"/>
          <w:numId w:val="0"/>
        </w:numPr>
      </w:pPr>
      <w:r>
        <w:tab/>
        <w:t>Żużel wielkopiecowy granulowany można przewozić dowolnymi środkami transportu w sposób zabezpieczony przed zanieczyszczeniem i zawilgoceniem.</w:t>
      </w:r>
    </w:p>
    <w:p w:rsidR="00E85C84" w:rsidRDefault="00E85C84" w:rsidP="00DC16EB">
      <w:pPr>
        <w:pStyle w:val="tekstost"/>
        <w:numPr>
          <w:ilvl w:val="12"/>
          <w:numId w:val="0"/>
        </w:numPr>
      </w:pPr>
      <w:r>
        <w:tab/>
        <w:t>Mieszankę kruszywowo-spoiwową można przewozić dowolnymi środkami transportu, w sposób zabezpieczony przed zanieczyszczeniem, rozsegregowaniem i wysuszeniem lub nadmiernym  zawilgoceniem.</w:t>
      </w:r>
    </w:p>
    <w:p w:rsidR="00E85C84" w:rsidRDefault="00E85C84" w:rsidP="00DC16EB">
      <w:pPr>
        <w:pStyle w:val="Nagwek1"/>
        <w:numPr>
          <w:ilvl w:val="12"/>
          <w:numId w:val="0"/>
        </w:numPr>
      </w:pPr>
      <w:r>
        <w:t>5. wykonanie robót</w:t>
      </w:r>
    </w:p>
    <w:p w:rsidR="00E85C84" w:rsidRDefault="00E85C84" w:rsidP="00DC16EB">
      <w:pPr>
        <w:pStyle w:val="Nagwek2"/>
        <w:numPr>
          <w:ilvl w:val="12"/>
          <w:numId w:val="0"/>
        </w:numPr>
      </w:pPr>
      <w:r>
        <w:t>5.1. Ogólne zasady wykonania robót</w:t>
      </w:r>
    </w:p>
    <w:p w:rsidR="00E85C84" w:rsidRDefault="00E85C84" w:rsidP="00DC16EB">
      <w:pPr>
        <w:numPr>
          <w:ilvl w:val="12"/>
          <w:numId w:val="0"/>
        </w:numPr>
      </w:pPr>
      <w:r>
        <w:tab/>
        <w:t xml:space="preserve">Ogólne zasady wykonania robót podano w SST D-M-00.00.00 „Wymagania ogólne” </w:t>
      </w:r>
      <w:proofErr w:type="spellStart"/>
      <w:r>
        <w:t>pkt</w:t>
      </w:r>
      <w:proofErr w:type="spellEnd"/>
      <w:r>
        <w:t xml:space="preserve"> 5.</w:t>
      </w:r>
    </w:p>
    <w:p w:rsidR="00E85C84" w:rsidRDefault="00E85C84" w:rsidP="00DC16EB">
      <w:pPr>
        <w:pStyle w:val="Nagwek2"/>
        <w:numPr>
          <w:ilvl w:val="12"/>
          <w:numId w:val="0"/>
        </w:numPr>
      </w:pPr>
      <w:r>
        <w:t>5.2. Przygotowanie podłoża</w:t>
      </w:r>
    </w:p>
    <w:p w:rsidR="00E85C84" w:rsidRDefault="00E85C84" w:rsidP="00DC16EB">
      <w:pPr>
        <w:numPr>
          <w:ilvl w:val="12"/>
          <w:numId w:val="0"/>
        </w:numPr>
      </w:pPr>
      <w:r>
        <w:tab/>
        <w:t>Podłoże gruntowe powinno być przygotowane zgodnie z wymaganiami określonymi w SST D-04.01.01 „Koryto wraz z profilowaniem i zagęszczeniem podłoża”         i SST D-02.00.00 „Roboty ziemne”.</w:t>
      </w:r>
    </w:p>
    <w:p w:rsidR="00E85C84" w:rsidRDefault="00E85C84" w:rsidP="00DC16EB">
      <w:pPr>
        <w:numPr>
          <w:ilvl w:val="12"/>
          <w:numId w:val="0"/>
        </w:numPr>
      </w:pPr>
      <w:r>
        <w:tab/>
        <w:t>Paliki lub szpilki do prawidłowego ukształtowania podbudowy i ulepszonego podłoża powinny być wcześniej przygotowane.</w:t>
      </w:r>
    </w:p>
    <w:p w:rsidR="00E85C84" w:rsidRDefault="00E85C84" w:rsidP="00DC16EB">
      <w:pPr>
        <w:numPr>
          <w:ilvl w:val="12"/>
          <w:numId w:val="0"/>
        </w:numPr>
      </w:pPr>
      <w:r>
        <w:tab/>
        <w:t>Paliki lub szpilki powinny być ustawione w osi drogi i w rzędach równoległych do osi drogi, lub w inny sposób zaakceptowany przez Inżyniera.</w:t>
      </w:r>
    </w:p>
    <w:p w:rsidR="00E85C84" w:rsidRDefault="00E85C84" w:rsidP="00DC16EB">
      <w:pPr>
        <w:numPr>
          <w:ilvl w:val="12"/>
          <w:numId w:val="0"/>
        </w:numPr>
      </w:pPr>
      <w:r>
        <w:tab/>
        <w:t xml:space="preserve">Rozmieszczenie palików lub szpilek powinno umożliwiać naciągnięcie sznurków lub linek do wytyczenia robót w odstępach nie większych niż co </w:t>
      </w:r>
      <w:smartTag w:uri="urn:schemas-microsoft-com:office:smarttags" w:element="metricconverter">
        <w:smartTagPr>
          <w:attr w:name="ProductID" w:val="10 m"/>
        </w:smartTagPr>
        <w:r>
          <w:t>10 m</w:t>
        </w:r>
      </w:smartTag>
      <w:r>
        <w:t>.</w:t>
      </w:r>
    </w:p>
    <w:p w:rsidR="00E85C84" w:rsidRDefault="00E85C84" w:rsidP="00DC16EB">
      <w:pPr>
        <w:numPr>
          <w:ilvl w:val="12"/>
          <w:numId w:val="0"/>
        </w:numPr>
      </w:pPr>
      <w:r>
        <w:tab/>
        <w:t xml:space="preserve">Jeżeli warstwa mieszanki gruntu lub kruszywa ze spoiwami hydraulicznymi ma być układana w prowadnicach, to po wytyczeniu podbudowy należy ustawić na podłożu prowadnice w taki sposób, aby wyznaczały one ściśle linie krawędzi układanej warstwy  według dokumentacji projektowej. Wysokość prowadnic powinna odpowiadać grubości </w:t>
      </w:r>
      <w:r>
        <w:lastRenderedPageBreak/>
        <w:t>warstwy mieszanki gruntu lub kruszywa ze spoiwami hydraulicznymi, w stanie niezagęszczonym. Prowadnice powinny być ustawione stabilnie, w sposób wykluczający ich przesuwanie się pod wpływem oddziaływania maszyn użytych do wykonania warstwy.</w:t>
      </w:r>
    </w:p>
    <w:p w:rsidR="00E85C84" w:rsidRDefault="00E85C84" w:rsidP="00DC16EB">
      <w:pPr>
        <w:pStyle w:val="Nagwek2"/>
        <w:numPr>
          <w:ilvl w:val="12"/>
          <w:numId w:val="0"/>
        </w:numPr>
      </w:pPr>
      <w:r>
        <w:t>5.3. Odcinek próbny</w:t>
      </w:r>
    </w:p>
    <w:p w:rsidR="00E85C84" w:rsidRDefault="00E85C84" w:rsidP="00DC16EB">
      <w:pPr>
        <w:pStyle w:val="tekstost"/>
        <w:numPr>
          <w:ilvl w:val="12"/>
          <w:numId w:val="0"/>
        </w:numPr>
      </w:pPr>
      <w:r>
        <w:tab/>
        <w:t>Jeżeli w SST przewidziano konieczność wykonania odcinka próbnego, to co najmniej na 3 dni przed rozpoczęciem robót, Wykonawca powinien wykonać odcinek próbny w celu:</w:t>
      </w:r>
    </w:p>
    <w:p w:rsidR="00E85C84" w:rsidRDefault="00E85C84" w:rsidP="00DC16EB">
      <w:pPr>
        <w:pStyle w:val="tekstost"/>
        <w:numPr>
          <w:ilvl w:val="0"/>
          <w:numId w:val="1"/>
        </w:numPr>
      </w:pPr>
      <w:r>
        <w:t>stwierdzenia czy sprzęt budowlany do spulchnienia, mieszania, rozkładania                         i zagęszczania  jest właściwy,</w:t>
      </w:r>
    </w:p>
    <w:p w:rsidR="00E85C84" w:rsidRDefault="00E85C84" w:rsidP="00DC16EB">
      <w:pPr>
        <w:pStyle w:val="tekstost"/>
        <w:numPr>
          <w:ilvl w:val="0"/>
          <w:numId w:val="1"/>
        </w:numPr>
      </w:pPr>
      <w:r>
        <w:t>określenia grubości warstwy materiału w stanie luźnym,  koniecznej do uzyskania wymaganej grubości warstwy po zagęszczeniu,</w:t>
      </w:r>
    </w:p>
    <w:p w:rsidR="00E85C84" w:rsidRDefault="00E85C84" w:rsidP="00DC16EB">
      <w:pPr>
        <w:pStyle w:val="tekstost"/>
        <w:numPr>
          <w:ilvl w:val="0"/>
          <w:numId w:val="1"/>
        </w:numPr>
      </w:pPr>
      <w:r>
        <w:t>określenia potrzebnej liczby przejść walców do uzyskania wymaganego wskaźnika zagęszczenia warstwy.</w:t>
      </w:r>
    </w:p>
    <w:p w:rsidR="00E85C84" w:rsidRDefault="00E85C84">
      <w:pPr>
        <w:pStyle w:val="tekstost"/>
      </w:pPr>
      <w:r>
        <w:tab/>
        <w:t>Na odcinku próbnym  Wykonawca powinien użyć materiałów oraz sprzętu takich, jakie będą stosowane do wykonywania podbudowy lub ulepszonego podłoża.</w:t>
      </w:r>
    </w:p>
    <w:p w:rsidR="00E85C84" w:rsidRDefault="00E85C84">
      <w:pPr>
        <w:pStyle w:val="tekstost"/>
      </w:pPr>
      <w:r>
        <w:tab/>
        <w:t xml:space="preserve">Powierzchnia odcinka próbnego powinna wynosić od 400 do </w:t>
      </w:r>
      <w:smartTag w:uri="urn:schemas-microsoft-com:office:smarttags" w:element="metricconverter">
        <w:smartTagPr>
          <w:attr w:name="ProductID" w:val="800 m2"/>
        </w:smartTagPr>
        <w:r>
          <w:t>800 m</w:t>
        </w:r>
        <w:r>
          <w:rPr>
            <w:vertAlign w:val="superscript"/>
          </w:rPr>
          <w:t>2</w:t>
        </w:r>
      </w:smartTag>
      <w:r>
        <w:t>.</w:t>
      </w:r>
    </w:p>
    <w:p w:rsidR="00E85C84" w:rsidRDefault="00E85C84">
      <w:pPr>
        <w:pStyle w:val="tekstost"/>
      </w:pPr>
      <w:r>
        <w:tab/>
        <w:t>Odcinek próbny powinien być zlokalizowany w miejscu wskazanym przez Inżyniera.</w:t>
      </w:r>
    </w:p>
    <w:p w:rsidR="00E85C84" w:rsidRDefault="00E85C84">
      <w:r>
        <w:tab/>
        <w:t>Wykonawca może przystąpić do wykonywania podbudowy lub ulepszonego podłoża  po zaakceptowaniu odcinka próbnego przez Inżyniera.</w:t>
      </w:r>
      <w:r>
        <w:tab/>
      </w:r>
    </w:p>
    <w:p w:rsidR="00E85C84" w:rsidRDefault="00E85C84">
      <w:pPr>
        <w:pStyle w:val="Nagwek2"/>
      </w:pPr>
      <w:r>
        <w:t>5.4. Utrzymanie podbudowy i ulepszonego podłoża</w:t>
      </w:r>
    </w:p>
    <w:p w:rsidR="00E85C84" w:rsidRDefault="00E85C84">
      <w:r>
        <w:tab/>
        <w:t xml:space="preserve">Podbudowa i ulepszone podłoże po wykonaniu, a przed ułożeniem następnej warstwy, powinny być utrzymywane w dobrym stanie.  Jeżeli Wykonawca będzie wykorzystywał, za zgodą Inżyniera, gotową podbudowę lub ulepszone podłoże do ruchu budowlanego, to jest obowiązany naprawić wszelkie uszkodzenia podbudowy, spowodowane przez ten ruch. Koszt napraw wynikłych z niewłaściwego utrzymania podbudowy lub ulepszonego podłoża obciąża Wykonawcę robót. </w:t>
      </w:r>
    </w:p>
    <w:p w:rsidR="00E85C84" w:rsidRDefault="00E85C84">
      <w:r>
        <w:tab/>
        <w:t>Wykonawca jest zobowiązany do przeprowadzenia bieżących napraw podbudowy lub ulepszonego podłoża  uszkodzonych wskutek oddziaływania czynników atmosferycznych, takich jak opady deszczu i śniegu oraz mróz.</w:t>
      </w:r>
    </w:p>
    <w:p w:rsidR="00E85C84" w:rsidRDefault="00E85C84">
      <w:r>
        <w:tab/>
        <w:t>Wykonawca jest zobowiązany wstrzymać ruch budowlany po okresie intensywnych opadów deszczu, jeżeli wystąpi możliwość uszkodzenia podbudowy lub ulepszonego podłoża.</w:t>
      </w:r>
    </w:p>
    <w:p w:rsidR="00E85C84" w:rsidRDefault="00E85C84">
      <w:r>
        <w:tab/>
        <w:t>Warstwa stabilizowana spoiwami hydraulicznymi powinna być przykryta przed zimą warstwą nawierzchni lub zabezpieczona przed niszczącym działaniem czynników atmosferycznych w inny sposób zaakceptowany przez Inżyniera.</w:t>
      </w:r>
    </w:p>
    <w:p w:rsidR="00E85C84" w:rsidRDefault="00E85C84">
      <w:pPr>
        <w:pStyle w:val="Nagwek2"/>
        <w:spacing w:after="0"/>
      </w:pPr>
      <w:r>
        <w:t>5.5. Pielęgnacja warstwy z gruntu lub kruszywa stabilizowanego spoiwami</w:t>
      </w:r>
    </w:p>
    <w:p w:rsidR="00E85C84" w:rsidRDefault="00E85C84">
      <w:pPr>
        <w:spacing w:after="120"/>
      </w:pPr>
      <w:r>
        <w:t xml:space="preserve">       </w:t>
      </w:r>
      <w:r>
        <w:rPr>
          <w:b/>
        </w:rPr>
        <w:t>hydraulicznymi</w:t>
      </w:r>
    </w:p>
    <w:p w:rsidR="00E85C84" w:rsidRDefault="00E85C84">
      <w:r>
        <w:tab/>
        <w:t>Pielęgnacja powinna być przeprowadzona według jednego z następujących sposobów:</w:t>
      </w:r>
    </w:p>
    <w:p w:rsidR="00E85C84" w:rsidRDefault="00E85C84" w:rsidP="00DC16EB">
      <w:pPr>
        <w:numPr>
          <w:ilvl w:val="0"/>
          <w:numId w:val="3"/>
        </w:numPr>
      </w:pPr>
      <w:r>
        <w:t>skropienie warstwy emulsją asfaltową, albo asfaltem D200 lub D300 w ilości od 0,5 do 1,0 kg/m</w:t>
      </w:r>
      <w:r>
        <w:rPr>
          <w:vertAlign w:val="superscript"/>
        </w:rPr>
        <w:t>2</w:t>
      </w:r>
      <w:r>
        <w:t>,</w:t>
      </w:r>
    </w:p>
    <w:p w:rsidR="00E85C84" w:rsidRDefault="00E85C84" w:rsidP="00DC16EB">
      <w:pPr>
        <w:numPr>
          <w:ilvl w:val="0"/>
          <w:numId w:val="3"/>
        </w:numPr>
      </w:pPr>
      <w:r>
        <w:t>skropienie specjalnymi preparatami powłokotwórczymi posiadającymi aprobatę techniczną wydaną przez uprawnioną jednostkę, po uprzednim zaakceptowaniu ich użycia przez Inżyniera,</w:t>
      </w:r>
    </w:p>
    <w:p w:rsidR="00E85C84" w:rsidRDefault="00E85C84" w:rsidP="00DC16EB">
      <w:pPr>
        <w:numPr>
          <w:ilvl w:val="0"/>
          <w:numId w:val="3"/>
        </w:numPr>
      </w:pPr>
      <w:r>
        <w:t>utrzymanie w stanie wilgotnym poprzez kilkakrotne skrapianie wodą w ciągu dnia, w czasie co najmniej 7 dni,</w:t>
      </w:r>
    </w:p>
    <w:p w:rsidR="00E85C84" w:rsidRDefault="00E85C84" w:rsidP="00DC16EB">
      <w:pPr>
        <w:numPr>
          <w:ilvl w:val="0"/>
          <w:numId w:val="3"/>
        </w:numPr>
      </w:pPr>
      <w:r>
        <w:t xml:space="preserve">przykrycie na okres 7 dni nieprzepuszczalną folią z tworzywa sztucznego, ułożoną na zakład o szerokości  co najmniej </w:t>
      </w:r>
      <w:smartTag w:uri="urn:schemas-microsoft-com:office:smarttags" w:element="metricconverter">
        <w:smartTagPr>
          <w:attr w:name="ProductID" w:val="30 cm"/>
        </w:smartTagPr>
        <w:r>
          <w:t>30 cm</w:t>
        </w:r>
      </w:smartTag>
      <w:r>
        <w:t xml:space="preserve"> i zabezpieczoną przed zerwaniem z powierzchni warstwy przez wiatr,</w:t>
      </w:r>
    </w:p>
    <w:p w:rsidR="00E85C84" w:rsidRDefault="00E85C84" w:rsidP="00DC16EB">
      <w:pPr>
        <w:numPr>
          <w:ilvl w:val="0"/>
          <w:numId w:val="3"/>
        </w:numPr>
      </w:pPr>
      <w:r>
        <w:t>przykrycie warstwą piasku lub grubej włókniny technicznej i utrzymywanie jej w stanie wilgotnym w czasie co najmniej 7 dni.</w:t>
      </w:r>
    </w:p>
    <w:p w:rsidR="00E85C84" w:rsidRDefault="00E85C84">
      <w:r>
        <w:tab/>
        <w:t>Inne sposoby pielęgnacji, zaproponowane przez Wykonawcę i inne materiały przeznaczone do pielęgnacji mogą być zastosowane po uzyskaniu akceptacji Inżyniera.</w:t>
      </w:r>
    </w:p>
    <w:p w:rsidR="00E85C84" w:rsidRDefault="00E85C84">
      <w:r>
        <w:lastRenderedPageBreak/>
        <w:tab/>
        <w:t>Nie należy dopuszczać żadnego ruchu pojazdów i maszyn po podbudowie w okresie 7 dni po wykonaniu.  Po tym czasie ewentualny ruch technologiczny może odbywać się wyłącznie za zgodą Inżyniera.</w:t>
      </w:r>
      <w:r>
        <w:tab/>
      </w:r>
    </w:p>
    <w:p w:rsidR="00E85C84" w:rsidRDefault="00E85C84">
      <w:pPr>
        <w:pStyle w:val="Nagwek2"/>
      </w:pPr>
      <w:r>
        <w:t>5.6. Pozostałe wymagania dotyczące wykonania robót</w:t>
      </w:r>
    </w:p>
    <w:p w:rsidR="00E85C84" w:rsidRDefault="00E85C84">
      <w:r>
        <w:tab/>
        <w:t>Pozostałe wymagania dotyczące wykonania robót podano w specyfikacjach dotyczących poszczególnych rodzajów podbudów i ulepszonego podłoża z gruntów lub kruszyw stabilizowanych spoiwami hydraulicznymi, które obejmują:</w:t>
      </w:r>
    </w:p>
    <w:tbl>
      <w:tblPr>
        <w:tblW w:w="0" w:type="auto"/>
        <w:tblLayout w:type="fixed"/>
        <w:tblCellMar>
          <w:left w:w="70" w:type="dxa"/>
          <w:right w:w="70" w:type="dxa"/>
        </w:tblCellMar>
        <w:tblLook w:val="0000"/>
      </w:tblPr>
      <w:tblGrid>
        <w:gridCol w:w="1330"/>
        <w:gridCol w:w="6180"/>
      </w:tblGrid>
      <w:tr w:rsidR="00E85C84">
        <w:tc>
          <w:tcPr>
            <w:tcW w:w="1330" w:type="dxa"/>
          </w:tcPr>
          <w:p w:rsidR="00E85C84" w:rsidRDefault="00E85C84">
            <w:r>
              <w:t>1. D-04.05.01</w:t>
            </w:r>
          </w:p>
        </w:tc>
        <w:tc>
          <w:tcPr>
            <w:tcW w:w="6180" w:type="dxa"/>
          </w:tcPr>
          <w:p w:rsidR="00E85C84" w:rsidRDefault="00E85C84">
            <w:r>
              <w:t>Podbudowa i ulepszone podłoże z gruntu lub kruszywa stabilizowanego cementem</w:t>
            </w:r>
          </w:p>
        </w:tc>
      </w:tr>
      <w:tr w:rsidR="00E85C84">
        <w:tc>
          <w:tcPr>
            <w:tcW w:w="1330" w:type="dxa"/>
          </w:tcPr>
          <w:p w:rsidR="00E85C84" w:rsidRDefault="00E85C84">
            <w:r>
              <w:t>2. D-04.05.02</w:t>
            </w:r>
          </w:p>
        </w:tc>
        <w:tc>
          <w:tcPr>
            <w:tcW w:w="6180" w:type="dxa"/>
          </w:tcPr>
          <w:p w:rsidR="00E85C84" w:rsidRDefault="00E85C84">
            <w:r>
              <w:t>Podbudowa i ulepszone podłoże z gruntu stabilizowanego wapnem</w:t>
            </w:r>
          </w:p>
        </w:tc>
      </w:tr>
      <w:tr w:rsidR="00E85C84">
        <w:tc>
          <w:tcPr>
            <w:tcW w:w="1330" w:type="dxa"/>
          </w:tcPr>
          <w:p w:rsidR="00E85C84" w:rsidRDefault="00E85C84">
            <w:r>
              <w:t>3. D-04.05.03</w:t>
            </w:r>
          </w:p>
        </w:tc>
        <w:tc>
          <w:tcPr>
            <w:tcW w:w="6180" w:type="dxa"/>
          </w:tcPr>
          <w:p w:rsidR="00E85C84" w:rsidRDefault="00E85C84">
            <w:r>
              <w:t>Podbudowa i ulepszone podłoże z gruntu stabilizowanego aktywnymi popiołami lotnymi</w:t>
            </w:r>
          </w:p>
        </w:tc>
      </w:tr>
      <w:tr w:rsidR="00E85C84">
        <w:tc>
          <w:tcPr>
            <w:tcW w:w="1330" w:type="dxa"/>
          </w:tcPr>
          <w:p w:rsidR="00E85C84" w:rsidRDefault="00E85C84">
            <w:r>
              <w:t>4. D-04.05.04</w:t>
            </w:r>
          </w:p>
        </w:tc>
        <w:tc>
          <w:tcPr>
            <w:tcW w:w="6180" w:type="dxa"/>
          </w:tcPr>
          <w:p w:rsidR="00E85C84" w:rsidRDefault="00E85C84">
            <w:r>
              <w:t>Podbudowa i ulepszone podłoże z gruntu lub kruszywa stabilizowanego wielkopiecowym żużlem granulowanym.</w:t>
            </w:r>
          </w:p>
        </w:tc>
      </w:tr>
    </w:tbl>
    <w:p w:rsidR="00E85C84" w:rsidRDefault="00E85C84">
      <w:pPr>
        <w:pStyle w:val="Nagwek1"/>
      </w:pPr>
      <w:bookmarkStart w:id="90" w:name="_Toc423398335"/>
      <w:bookmarkStart w:id="91" w:name="_Toc423845943"/>
      <w:r>
        <w:t>6. kontrola jakości robót</w:t>
      </w:r>
      <w:bookmarkEnd w:id="90"/>
      <w:bookmarkEnd w:id="91"/>
    </w:p>
    <w:p w:rsidR="00E85C84" w:rsidRDefault="00E85C84">
      <w:pPr>
        <w:pStyle w:val="Nagwek2"/>
      </w:pPr>
      <w:r>
        <w:t>6.1. Ogólne zasady kontroli jakości robót</w:t>
      </w:r>
    </w:p>
    <w:p w:rsidR="00E85C84" w:rsidRDefault="00E85C84">
      <w:r>
        <w:tab/>
        <w:t xml:space="preserve">Ogólne zasady kontroli jakości robót podano w SST D-M-00.00.00 „Wymagania ogólne” </w:t>
      </w:r>
      <w:proofErr w:type="spellStart"/>
      <w:r>
        <w:t>pkt</w:t>
      </w:r>
      <w:proofErr w:type="spellEnd"/>
      <w:r>
        <w:t xml:space="preserve"> 6.</w:t>
      </w:r>
    </w:p>
    <w:p w:rsidR="00E85C84" w:rsidRDefault="00E85C84">
      <w:pPr>
        <w:pStyle w:val="Nagwek2"/>
      </w:pPr>
      <w:r>
        <w:t>6.2. Badania przed przystąpieniem do robót</w:t>
      </w:r>
    </w:p>
    <w:p w:rsidR="00E85C84" w:rsidRDefault="00E85C84">
      <w:r>
        <w:tab/>
        <w:t>Przed przystąpieniem do robót Wykonawca powinien wykonać badania spoiw, kruszyw i gruntów  przeznaczonych do wykonania robót i przedstawić wyniki tych badań Inżynierowi w celu akceptacji.</w:t>
      </w:r>
    </w:p>
    <w:p w:rsidR="00E85C84" w:rsidRDefault="00E85C84">
      <w:pPr>
        <w:pStyle w:val="Nagwek2"/>
      </w:pPr>
      <w:r>
        <w:t>6.3. Badania w czasie robót</w:t>
      </w:r>
    </w:p>
    <w:p w:rsidR="00E85C84" w:rsidRDefault="00E85C84">
      <w:r>
        <w:rPr>
          <w:b/>
        </w:rPr>
        <w:t xml:space="preserve">6.3.1. </w:t>
      </w:r>
      <w:r>
        <w:t>Częstotliwość oraz zakres badań i pomiarów</w:t>
      </w:r>
    </w:p>
    <w:p w:rsidR="00E85C84" w:rsidRDefault="00E85C84">
      <w:pPr>
        <w:spacing w:before="120"/>
      </w:pPr>
      <w:r>
        <w:tab/>
        <w:t>Częstotliwość oraz zakres badań  i pomiarów w czasie wykonywania podbudowy lub ulepszonego podłoża stabilizowanych spoiwami  podano w tablicy 1.</w:t>
      </w:r>
    </w:p>
    <w:p w:rsidR="00E85C84" w:rsidRDefault="00E85C84">
      <w:pPr>
        <w:pStyle w:val="tekstost"/>
        <w:spacing w:after="120"/>
      </w:pPr>
      <w:r>
        <w:t>Tablica 1. Częstotliwość badań i pomiarów</w:t>
      </w:r>
    </w:p>
    <w:tbl>
      <w:tblPr>
        <w:tblW w:w="0" w:type="auto"/>
        <w:tblLayout w:type="fixed"/>
        <w:tblCellMar>
          <w:left w:w="70" w:type="dxa"/>
          <w:right w:w="70" w:type="dxa"/>
        </w:tblCellMar>
        <w:tblLook w:val="0000"/>
      </w:tblPr>
      <w:tblGrid>
        <w:gridCol w:w="496"/>
        <w:gridCol w:w="4394"/>
        <w:gridCol w:w="1309"/>
        <w:gridCol w:w="1311"/>
      </w:tblGrid>
      <w:tr w:rsidR="00E85C84">
        <w:tc>
          <w:tcPr>
            <w:tcW w:w="496" w:type="dxa"/>
            <w:tcBorders>
              <w:top w:val="single" w:sz="6" w:space="0" w:color="auto"/>
              <w:left w:val="single" w:sz="6" w:space="0" w:color="auto"/>
            </w:tcBorders>
          </w:tcPr>
          <w:p w:rsidR="00E85C84" w:rsidRDefault="00E85C84">
            <w:pPr>
              <w:pStyle w:val="tekstost"/>
              <w:jc w:val="center"/>
            </w:pPr>
          </w:p>
        </w:tc>
        <w:tc>
          <w:tcPr>
            <w:tcW w:w="4394" w:type="dxa"/>
            <w:tcBorders>
              <w:top w:val="single" w:sz="6" w:space="0" w:color="auto"/>
              <w:left w:val="single" w:sz="6" w:space="0" w:color="auto"/>
            </w:tcBorders>
          </w:tcPr>
          <w:p w:rsidR="00E85C84" w:rsidRDefault="00E85C84">
            <w:pPr>
              <w:pStyle w:val="tekstost"/>
              <w:jc w:val="center"/>
            </w:pPr>
          </w:p>
        </w:tc>
        <w:tc>
          <w:tcPr>
            <w:tcW w:w="2620" w:type="dxa"/>
            <w:gridSpan w:val="2"/>
            <w:tcBorders>
              <w:top w:val="single" w:sz="6" w:space="0" w:color="auto"/>
              <w:left w:val="single" w:sz="6" w:space="0" w:color="auto"/>
              <w:bottom w:val="single" w:sz="6" w:space="0" w:color="auto"/>
              <w:right w:val="single" w:sz="6" w:space="0" w:color="auto"/>
            </w:tcBorders>
          </w:tcPr>
          <w:p w:rsidR="00E85C84" w:rsidRDefault="00E85C84">
            <w:pPr>
              <w:pStyle w:val="tekstost"/>
              <w:jc w:val="center"/>
            </w:pPr>
            <w:r>
              <w:t>Częstotliwość badań</w:t>
            </w:r>
          </w:p>
        </w:tc>
      </w:tr>
      <w:tr w:rsidR="00E85C84">
        <w:tc>
          <w:tcPr>
            <w:tcW w:w="496" w:type="dxa"/>
            <w:tcBorders>
              <w:left w:val="single" w:sz="6" w:space="0" w:color="auto"/>
              <w:bottom w:val="double" w:sz="6" w:space="0" w:color="auto"/>
              <w:right w:val="single" w:sz="6" w:space="0" w:color="auto"/>
            </w:tcBorders>
          </w:tcPr>
          <w:p w:rsidR="00E85C84" w:rsidRDefault="00E85C84">
            <w:pPr>
              <w:pStyle w:val="tekstost"/>
              <w:jc w:val="center"/>
            </w:pPr>
          </w:p>
          <w:p w:rsidR="00E85C84" w:rsidRDefault="00E85C84">
            <w:pPr>
              <w:pStyle w:val="tekstost"/>
              <w:spacing w:before="120"/>
              <w:jc w:val="center"/>
            </w:pPr>
            <w:r>
              <w:t>Lp.</w:t>
            </w:r>
          </w:p>
        </w:tc>
        <w:tc>
          <w:tcPr>
            <w:tcW w:w="4394" w:type="dxa"/>
            <w:tcBorders>
              <w:bottom w:val="double" w:sz="6" w:space="0" w:color="auto"/>
            </w:tcBorders>
          </w:tcPr>
          <w:p w:rsidR="00E85C84" w:rsidRDefault="00E85C84">
            <w:pPr>
              <w:pStyle w:val="tekstost"/>
            </w:pPr>
          </w:p>
          <w:p w:rsidR="00E85C84" w:rsidRDefault="00E85C84">
            <w:pPr>
              <w:pStyle w:val="tekstost"/>
              <w:spacing w:before="120"/>
              <w:jc w:val="center"/>
            </w:pPr>
            <w:r>
              <w:t>Wyszczególnienie badań</w:t>
            </w:r>
          </w:p>
        </w:tc>
        <w:tc>
          <w:tcPr>
            <w:tcW w:w="1309" w:type="dxa"/>
            <w:tcBorders>
              <w:top w:val="single" w:sz="6" w:space="0" w:color="auto"/>
              <w:left w:val="single" w:sz="6" w:space="0" w:color="auto"/>
              <w:bottom w:val="double" w:sz="6" w:space="0" w:color="auto"/>
              <w:right w:val="single" w:sz="6" w:space="0" w:color="auto"/>
            </w:tcBorders>
          </w:tcPr>
          <w:p w:rsidR="00E85C84" w:rsidRDefault="00E85C84">
            <w:pPr>
              <w:pStyle w:val="tekstost"/>
              <w:jc w:val="center"/>
              <w:rPr>
                <w:sz w:val="16"/>
              </w:rPr>
            </w:pPr>
          </w:p>
          <w:p w:rsidR="00E85C84" w:rsidRDefault="00E85C84">
            <w:pPr>
              <w:pStyle w:val="tekstost"/>
              <w:spacing w:before="120"/>
              <w:jc w:val="center"/>
              <w:rPr>
                <w:sz w:val="16"/>
              </w:rPr>
            </w:pPr>
            <w:r>
              <w:rPr>
                <w:sz w:val="16"/>
              </w:rPr>
              <w:t>Minimalna liczba badań na dziennej działce roboczej</w:t>
            </w:r>
          </w:p>
        </w:tc>
        <w:tc>
          <w:tcPr>
            <w:tcW w:w="1311" w:type="dxa"/>
            <w:tcBorders>
              <w:top w:val="single" w:sz="6" w:space="0" w:color="auto"/>
              <w:left w:val="single" w:sz="6" w:space="0" w:color="auto"/>
              <w:bottom w:val="double" w:sz="6" w:space="0" w:color="auto"/>
              <w:right w:val="single" w:sz="6" w:space="0" w:color="auto"/>
            </w:tcBorders>
          </w:tcPr>
          <w:p w:rsidR="00E85C84" w:rsidRDefault="00E85C84">
            <w:pPr>
              <w:pStyle w:val="tekstost"/>
              <w:jc w:val="left"/>
              <w:rPr>
                <w:sz w:val="16"/>
              </w:rPr>
            </w:pPr>
            <w:r>
              <w:rPr>
                <w:sz w:val="16"/>
              </w:rPr>
              <w:t>Maksymalna powierzchnia podbudowy lub ulepszonego pod-</w:t>
            </w:r>
          </w:p>
          <w:p w:rsidR="00E85C84" w:rsidRDefault="00E85C84">
            <w:pPr>
              <w:pStyle w:val="tekstost"/>
              <w:jc w:val="left"/>
              <w:rPr>
                <w:sz w:val="16"/>
              </w:rPr>
            </w:pPr>
            <w:r>
              <w:rPr>
                <w:sz w:val="16"/>
              </w:rPr>
              <w:t>łoża przypadająca</w:t>
            </w:r>
          </w:p>
          <w:p w:rsidR="00E85C84" w:rsidRDefault="00E85C84">
            <w:pPr>
              <w:pStyle w:val="tekstost"/>
              <w:jc w:val="left"/>
              <w:rPr>
                <w:sz w:val="16"/>
              </w:rPr>
            </w:pPr>
            <w:r>
              <w:rPr>
                <w:sz w:val="16"/>
              </w:rPr>
              <w:t>na jedno badanie</w:t>
            </w:r>
          </w:p>
        </w:tc>
      </w:tr>
      <w:tr w:rsidR="00E85C84">
        <w:tc>
          <w:tcPr>
            <w:tcW w:w="496" w:type="dxa"/>
            <w:tcBorders>
              <w:left w:val="single" w:sz="6" w:space="0" w:color="auto"/>
              <w:bottom w:val="single" w:sz="6" w:space="0" w:color="auto"/>
              <w:right w:val="single" w:sz="6" w:space="0" w:color="auto"/>
            </w:tcBorders>
          </w:tcPr>
          <w:p w:rsidR="00E85C84" w:rsidRDefault="00E85C84">
            <w:pPr>
              <w:pStyle w:val="tekstost"/>
              <w:jc w:val="center"/>
            </w:pPr>
            <w:r>
              <w:t>1</w:t>
            </w:r>
          </w:p>
        </w:tc>
        <w:tc>
          <w:tcPr>
            <w:tcW w:w="4394" w:type="dxa"/>
            <w:tcBorders>
              <w:left w:val="single" w:sz="6" w:space="0" w:color="auto"/>
              <w:bottom w:val="single" w:sz="6" w:space="0" w:color="auto"/>
            </w:tcBorders>
          </w:tcPr>
          <w:p w:rsidR="00E85C84" w:rsidRDefault="00E85C84">
            <w:pPr>
              <w:pStyle w:val="tekstost"/>
            </w:pPr>
            <w:r>
              <w:t>Uziarnienie mieszanki gruntu lub kruszywa</w:t>
            </w:r>
          </w:p>
        </w:tc>
        <w:tc>
          <w:tcPr>
            <w:tcW w:w="1309" w:type="dxa"/>
            <w:tcBorders>
              <w:left w:val="single" w:sz="6" w:space="0" w:color="auto"/>
            </w:tcBorders>
          </w:tcPr>
          <w:p w:rsidR="00E85C84" w:rsidRDefault="00E85C84">
            <w:pPr>
              <w:pStyle w:val="tekstost"/>
              <w:jc w:val="center"/>
            </w:pPr>
          </w:p>
        </w:tc>
        <w:tc>
          <w:tcPr>
            <w:tcW w:w="1311" w:type="dxa"/>
            <w:tcBorders>
              <w:left w:val="single" w:sz="6" w:space="0" w:color="auto"/>
              <w:right w:val="single" w:sz="6" w:space="0" w:color="auto"/>
            </w:tcBorders>
          </w:tcPr>
          <w:p w:rsidR="00E85C84" w:rsidRDefault="00E85C84">
            <w:pPr>
              <w:pStyle w:val="tekstost"/>
              <w:jc w:val="center"/>
            </w:pPr>
          </w:p>
        </w:tc>
      </w:tr>
      <w:tr w:rsidR="00E85C84">
        <w:tc>
          <w:tcPr>
            <w:tcW w:w="496" w:type="dxa"/>
            <w:tcBorders>
              <w:top w:val="single" w:sz="6" w:space="0" w:color="auto"/>
              <w:left w:val="single" w:sz="6" w:space="0" w:color="auto"/>
              <w:bottom w:val="single" w:sz="6" w:space="0" w:color="auto"/>
              <w:right w:val="single" w:sz="6" w:space="0" w:color="auto"/>
            </w:tcBorders>
          </w:tcPr>
          <w:p w:rsidR="00E85C84" w:rsidRDefault="00E85C84">
            <w:pPr>
              <w:pStyle w:val="tekstost"/>
              <w:jc w:val="center"/>
            </w:pPr>
            <w:r>
              <w:t>2</w:t>
            </w:r>
          </w:p>
        </w:tc>
        <w:tc>
          <w:tcPr>
            <w:tcW w:w="4394" w:type="dxa"/>
            <w:tcBorders>
              <w:top w:val="single" w:sz="6" w:space="0" w:color="auto"/>
              <w:left w:val="single" w:sz="6" w:space="0" w:color="auto"/>
              <w:bottom w:val="single" w:sz="6" w:space="0" w:color="auto"/>
            </w:tcBorders>
          </w:tcPr>
          <w:p w:rsidR="00E85C84" w:rsidRDefault="00E85C84">
            <w:pPr>
              <w:pStyle w:val="tekstost"/>
            </w:pPr>
            <w:r>
              <w:t>Wilgotność mieszanki gruntu lub kruszywa ze spoiwem</w:t>
            </w:r>
          </w:p>
        </w:tc>
        <w:tc>
          <w:tcPr>
            <w:tcW w:w="1309" w:type="dxa"/>
            <w:tcBorders>
              <w:left w:val="single" w:sz="6" w:space="0" w:color="auto"/>
            </w:tcBorders>
          </w:tcPr>
          <w:p w:rsidR="00E85C84" w:rsidRDefault="00E85C84">
            <w:pPr>
              <w:pStyle w:val="tekstost"/>
              <w:jc w:val="center"/>
            </w:pPr>
          </w:p>
        </w:tc>
        <w:tc>
          <w:tcPr>
            <w:tcW w:w="1311" w:type="dxa"/>
            <w:tcBorders>
              <w:left w:val="single" w:sz="6" w:space="0" w:color="auto"/>
              <w:right w:val="single" w:sz="6" w:space="0" w:color="auto"/>
            </w:tcBorders>
          </w:tcPr>
          <w:p w:rsidR="00E85C84" w:rsidRDefault="00E85C84">
            <w:pPr>
              <w:pStyle w:val="tekstost"/>
              <w:jc w:val="center"/>
            </w:pPr>
          </w:p>
        </w:tc>
      </w:tr>
      <w:tr w:rsidR="00E85C84">
        <w:tc>
          <w:tcPr>
            <w:tcW w:w="496" w:type="dxa"/>
            <w:tcBorders>
              <w:top w:val="single" w:sz="6" w:space="0" w:color="auto"/>
              <w:left w:val="single" w:sz="6" w:space="0" w:color="auto"/>
              <w:bottom w:val="single" w:sz="6" w:space="0" w:color="auto"/>
              <w:right w:val="single" w:sz="6" w:space="0" w:color="auto"/>
            </w:tcBorders>
          </w:tcPr>
          <w:p w:rsidR="00E85C84" w:rsidRDefault="00E85C84">
            <w:pPr>
              <w:pStyle w:val="tekstost"/>
              <w:jc w:val="center"/>
            </w:pPr>
            <w:r>
              <w:t>3</w:t>
            </w:r>
          </w:p>
        </w:tc>
        <w:tc>
          <w:tcPr>
            <w:tcW w:w="4394" w:type="dxa"/>
            <w:tcBorders>
              <w:top w:val="single" w:sz="6" w:space="0" w:color="auto"/>
              <w:left w:val="single" w:sz="6" w:space="0" w:color="auto"/>
              <w:bottom w:val="single" w:sz="6" w:space="0" w:color="auto"/>
            </w:tcBorders>
          </w:tcPr>
          <w:p w:rsidR="00E85C84" w:rsidRDefault="00E85C84">
            <w:pPr>
              <w:pStyle w:val="tekstost"/>
            </w:pPr>
            <w:r>
              <w:t xml:space="preserve">Rozdrobnienie gruntu </w:t>
            </w:r>
            <w:r>
              <w:rPr>
                <w:vertAlign w:val="superscript"/>
              </w:rPr>
              <w:t>1)</w:t>
            </w:r>
          </w:p>
        </w:tc>
        <w:tc>
          <w:tcPr>
            <w:tcW w:w="1309" w:type="dxa"/>
            <w:tcBorders>
              <w:left w:val="single" w:sz="6" w:space="0" w:color="auto"/>
            </w:tcBorders>
          </w:tcPr>
          <w:p w:rsidR="00E85C84" w:rsidRDefault="00E85C84">
            <w:pPr>
              <w:pStyle w:val="tekstost"/>
              <w:jc w:val="center"/>
            </w:pPr>
            <w:r>
              <w:t>2</w:t>
            </w:r>
          </w:p>
        </w:tc>
        <w:tc>
          <w:tcPr>
            <w:tcW w:w="1311" w:type="dxa"/>
            <w:tcBorders>
              <w:left w:val="single" w:sz="6" w:space="0" w:color="auto"/>
              <w:right w:val="single" w:sz="6" w:space="0" w:color="auto"/>
            </w:tcBorders>
          </w:tcPr>
          <w:p w:rsidR="00E85C84" w:rsidRDefault="00E85C84">
            <w:pPr>
              <w:pStyle w:val="tekstost"/>
              <w:jc w:val="center"/>
            </w:pPr>
            <w:smartTag w:uri="urn:schemas-microsoft-com:office:smarttags" w:element="metricconverter">
              <w:smartTagPr>
                <w:attr w:name="ProductID" w:val="600 m2"/>
              </w:smartTagPr>
              <w:r>
                <w:t>600 m</w:t>
              </w:r>
              <w:r>
                <w:rPr>
                  <w:vertAlign w:val="superscript"/>
                </w:rPr>
                <w:t>2</w:t>
              </w:r>
            </w:smartTag>
          </w:p>
        </w:tc>
      </w:tr>
      <w:tr w:rsidR="00E85C84">
        <w:tc>
          <w:tcPr>
            <w:tcW w:w="496" w:type="dxa"/>
            <w:tcBorders>
              <w:top w:val="single" w:sz="6" w:space="0" w:color="auto"/>
              <w:left w:val="single" w:sz="6" w:space="0" w:color="auto"/>
              <w:bottom w:val="single" w:sz="6" w:space="0" w:color="auto"/>
              <w:right w:val="single" w:sz="6" w:space="0" w:color="auto"/>
            </w:tcBorders>
          </w:tcPr>
          <w:p w:rsidR="00E85C84" w:rsidRDefault="00E85C84">
            <w:pPr>
              <w:pStyle w:val="tekstost"/>
              <w:jc w:val="center"/>
            </w:pPr>
            <w:r>
              <w:t>4</w:t>
            </w:r>
          </w:p>
        </w:tc>
        <w:tc>
          <w:tcPr>
            <w:tcW w:w="4394" w:type="dxa"/>
            <w:tcBorders>
              <w:top w:val="single" w:sz="6" w:space="0" w:color="auto"/>
              <w:left w:val="single" w:sz="6" w:space="0" w:color="auto"/>
              <w:bottom w:val="single" w:sz="6" w:space="0" w:color="auto"/>
            </w:tcBorders>
          </w:tcPr>
          <w:p w:rsidR="00E85C84" w:rsidRDefault="00E85C84">
            <w:pPr>
              <w:pStyle w:val="tekstost"/>
            </w:pPr>
            <w:r>
              <w:t xml:space="preserve">Jednorodność i głębokość wymieszania </w:t>
            </w:r>
            <w:r>
              <w:rPr>
                <w:vertAlign w:val="superscript"/>
              </w:rPr>
              <w:t>2)</w:t>
            </w:r>
          </w:p>
        </w:tc>
        <w:tc>
          <w:tcPr>
            <w:tcW w:w="1309" w:type="dxa"/>
            <w:tcBorders>
              <w:left w:val="single" w:sz="6" w:space="0" w:color="auto"/>
            </w:tcBorders>
          </w:tcPr>
          <w:p w:rsidR="00E85C84" w:rsidRDefault="00E85C84">
            <w:pPr>
              <w:pStyle w:val="tekstost"/>
              <w:jc w:val="center"/>
            </w:pPr>
          </w:p>
        </w:tc>
        <w:tc>
          <w:tcPr>
            <w:tcW w:w="1311" w:type="dxa"/>
            <w:tcBorders>
              <w:left w:val="single" w:sz="6" w:space="0" w:color="auto"/>
              <w:right w:val="single" w:sz="6" w:space="0" w:color="auto"/>
            </w:tcBorders>
          </w:tcPr>
          <w:p w:rsidR="00E85C84" w:rsidRDefault="00E85C84">
            <w:pPr>
              <w:pStyle w:val="tekstost"/>
              <w:jc w:val="center"/>
            </w:pPr>
          </w:p>
        </w:tc>
      </w:tr>
      <w:tr w:rsidR="00E85C84">
        <w:tc>
          <w:tcPr>
            <w:tcW w:w="496" w:type="dxa"/>
            <w:tcBorders>
              <w:top w:val="single" w:sz="6" w:space="0" w:color="auto"/>
              <w:left w:val="single" w:sz="6" w:space="0" w:color="auto"/>
              <w:bottom w:val="single" w:sz="6" w:space="0" w:color="auto"/>
              <w:right w:val="single" w:sz="6" w:space="0" w:color="auto"/>
            </w:tcBorders>
          </w:tcPr>
          <w:p w:rsidR="00E85C84" w:rsidRDefault="00E85C84">
            <w:pPr>
              <w:pStyle w:val="tekstost"/>
              <w:jc w:val="center"/>
            </w:pPr>
            <w:r>
              <w:t>5</w:t>
            </w:r>
          </w:p>
        </w:tc>
        <w:tc>
          <w:tcPr>
            <w:tcW w:w="4394" w:type="dxa"/>
            <w:tcBorders>
              <w:top w:val="single" w:sz="6" w:space="0" w:color="auto"/>
              <w:left w:val="single" w:sz="6" w:space="0" w:color="auto"/>
              <w:bottom w:val="single" w:sz="6" w:space="0" w:color="auto"/>
            </w:tcBorders>
          </w:tcPr>
          <w:p w:rsidR="00E85C84" w:rsidRDefault="00E85C84">
            <w:pPr>
              <w:pStyle w:val="tekstost"/>
            </w:pPr>
            <w:r>
              <w:t>Zagęszczenie warstwy</w:t>
            </w:r>
          </w:p>
        </w:tc>
        <w:tc>
          <w:tcPr>
            <w:tcW w:w="1309" w:type="dxa"/>
            <w:tcBorders>
              <w:left w:val="single" w:sz="6" w:space="0" w:color="auto"/>
              <w:bottom w:val="single" w:sz="6" w:space="0" w:color="auto"/>
            </w:tcBorders>
          </w:tcPr>
          <w:p w:rsidR="00E85C84" w:rsidRDefault="00E85C84">
            <w:pPr>
              <w:pStyle w:val="tekstost"/>
              <w:jc w:val="center"/>
            </w:pPr>
          </w:p>
        </w:tc>
        <w:tc>
          <w:tcPr>
            <w:tcW w:w="1311" w:type="dxa"/>
            <w:tcBorders>
              <w:left w:val="single" w:sz="6" w:space="0" w:color="auto"/>
              <w:bottom w:val="single" w:sz="6" w:space="0" w:color="auto"/>
              <w:right w:val="single" w:sz="6" w:space="0" w:color="auto"/>
            </w:tcBorders>
          </w:tcPr>
          <w:p w:rsidR="00E85C84" w:rsidRDefault="00E85C84">
            <w:pPr>
              <w:pStyle w:val="tekstost"/>
              <w:jc w:val="center"/>
            </w:pPr>
          </w:p>
        </w:tc>
      </w:tr>
      <w:tr w:rsidR="00E85C84">
        <w:tc>
          <w:tcPr>
            <w:tcW w:w="496" w:type="dxa"/>
            <w:tcBorders>
              <w:left w:val="single" w:sz="6" w:space="0" w:color="auto"/>
              <w:bottom w:val="single" w:sz="6" w:space="0" w:color="auto"/>
              <w:right w:val="single" w:sz="6" w:space="0" w:color="auto"/>
            </w:tcBorders>
          </w:tcPr>
          <w:p w:rsidR="00E85C84" w:rsidRDefault="00E85C84">
            <w:pPr>
              <w:pStyle w:val="tekstost"/>
              <w:spacing w:before="60" w:after="60"/>
              <w:jc w:val="center"/>
            </w:pPr>
            <w:r>
              <w:t>6</w:t>
            </w:r>
          </w:p>
        </w:tc>
        <w:tc>
          <w:tcPr>
            <w:tcW w:w="4394" w:type="dxa"/>
            <w:tcBorders>
              <w:left w:val="single" w:sz="6" w:space="0" w:color="auto"/>
              <w:bottom w:val="single" w:sz="6" w:space="0" w:color="auto"/>
              <w:right w:val="single" w:sz="6" w:space="0" w:color="auto"/>
            </w:tcBorders>
          </w:tcPr>
          <w:p w:rsidR="00E85C84" w:rsidRDefault="00E85C84">
            <w:pPr>
              <w:pStyle w:val="tekstost"/>
              <w:spacing w:before="60" w:after="60"/>
            </w:pPr>
            <w:r>
              <w:t>Grubość podbudowy lub ulepszonego podłoża</w:t>
            </w:r>
          </w:p>
        </w:tc>
        <w:tc>
          <w:tcPr>
            <w:tcW w:w="1309" w:type="dxa"/>
            <w:tcBorders>
              <w:left w:val="single" w:sz="6" w:space="0" w:color="auto"/>
              <w:bottom w:val="single" w:sz="6" w:space="0" w:color="auto"/>
              <w:right w:val="single" w:sz="6" w:space="0" w:color="auto"/>
            </w:tcBorders>
          </w:tcPr>
          <w:p w:rsidR="00E85C84" w:rsidRDefault="00E85C84">
            <w:pPr>
              <w:pStyle w:val="tekstost"/>
              <w:spacing w:before="60" w:after="60"/>
              <w:jc w:val="center"/>
            </w:pPr>
            <w:r>
              <w:t>3</w:t>
            </w:r>
          </w:p>
        </w:tc>
        <w:tc>
          <w:tcPr>
            <w:tcW w:w="1311" w:type="dxa"/>
            <w:tcBorders>
              <w:bottom w:val="single" w:sz="6" w:space="0" w:color="auto"/>
              <w:right w:val="single" w:sz="6" w:space="0" w:color="auto"/>
            </w:tcBorders>
          </w:tcPr>
          <w:p w:rsidR="00E85C84" w:rsidRDefault="00E85C84">
            <w:pPr>
              <w:pStyle w:val="tekstost"/>
              <w:spacing w:before="60" w:after="60"/>
              <w:jc w:val="center"/>
            </w:pPr>
            <w:smartTag w:uri="urn:schemas-microsoft-com:office:smarttags" w:element="metricconverter">
              <w:smartTagPr>
                <w:attr w:name="ProductID" w:val="400 m2"/>
              </w:smartTagPr>
              <w:r>
                <w:t>400 m</w:t>
              </w:r>
              <w:r>
                <w:rPr>
                  <w:vertAlign w:val="superscript"/>
                </w:rPr>
                <w:t>2</w:t>
              </w:r>
            </w:smartTag>
          </w:p>
        </w:tc>
      </w:tr>
      <w:tr w:rsidR="00E85C84">
        <w:tc>
          <w:tcPr>
            <w:tcW w:w="496" w:type="dxa"/>
            <w:tcBorders>
              <w:top w:val="single" w:sz="6" w:space="0" w:color="auto"/>
              <w:left w:val="single" w:sz="6" w:space="0" w:color="auto"/>
              <w:bottom w:val="single" w:sz="6" w:space="0" w:color="auto"/>
              <w:right w:val="single" w:sz="6" w:space="0" w:color="auto"/>
            </w:tcBorders>
          </w:tcPr>
          <w:p w:rsidR="00E85C84" w:rsidRDefault="00E85C84">
            <w:pPr>
              <w:pStyle w:val="tekstost"/>
              <w:jc w:val="center"/>
            </w:pPr>
            <w:r>
              <w:t>7</w:t>
            </w:r>
          </w:p>
        </w:tc>
        <w:tc>
          <w:tcPr>
            <w:tcW w:w="4394" w:type="dxa"/>
            <w:tcBorders>
              <w:top w:val="single" w:sz="6" w:space="0" w:color="auto"/>
              <w:left w:val="single" w:sz="6" w:space="0" w:color="auto"/>
              <w:bottom w:val="single" w:sz="6" w:space="0" w:color="auto"/>
              <w:right w:val="single" w:sz="6" w:space="0" w:color="auto"/>
            </w:tcBorders>
          </w:tcPr>
          <w:p w:rsidR="00E85C84" w:rsidRDefault="00E85C84">
            <w:pPr>
              <w:pStyle w:val="tekstost"/>
            </w:pPr>
            <w:r>
              <w:t>Wytrzymałość na ściskanie</w:t>
            </w:r>
          </w:p>
          <w:p w:rsidR="00E85C84" w:rsidRDefault="00E85C84" w:rsidP="00DC16EB">
            <w:pPr>
              <w:pStyle w:val="tekstost"/>
              <w:numPr>
                <w:ilvl w:val="0"/>
                <w:numId w:val="1"/>
              </w:numPr>
              <w:jc w:val="left"/>
            </w:pPr>
            <w:r>
              <w:t>7 i 28-dniowa przy stabilizacji cementem                   i wapnem</w:t>
            </w:r>
          </w:p>
          <w:p w:rsidR="00E85C84" w:rsidRDefault="00E85C84" w:rsidP="00DC16EB">
            <w:pPr>
              <w:pStyle w:val="tekstost"/>
              <w:numPr>
                <w:ilvl w:val="0"/>
                <w:numId w:val="1"/>
              </w:numPr>
              <w:jc w:val="left"/>
            </w:pPr>
            <w:r>
              <w:t>14 i 42-dniowa przy stabilizacji popiołami lotnymi</w:t>
            </w:r>
          </w:p>
          <w:p w:rsidR="00E85C84" w:rsidRDefault="00E85C84" w:rsidP="00DC16EB">
            <w:pPr>
              <w:pStyle w:val="tekstost"/>
              <w:numPr>
                <w:ilvl w:val="0"/>
                <w:numId w:val="1"/>
              </w:numPr>
              <w:jc w:val="left"/>
            </w:pPr>
            <w:r>
              <w:t xml:space="preserve">90-dniowa przy stabilizacji żużlem granulowa-  </w:t>
            </w:r>
            <w:proofErr w:type="spellStart"/>
            <w:r>
              <w:t>nym</w:t>
            </w:r>
            <w:proofErr w:type="spellEnd"/>
          </w:p>
        </w:tc>
        <w:tc>
          <w:tcPr>
            <w:tcW w:w="1309" w:type="dxa"/>
            <w:tcBorders>
              <w:top w:val="single" w:sz="6" w:space="0" w:color="auto"/>
              <w:left w:val="single" w:sz="6" w:space="0" w:color="auto"/>
              <w:bottom w:val="single" w:sz="6" w:space="0" w:color="auto"/>
              <w:right w:val="single" w:sz="6" w:space="0" w:color="auto"/>
            </w:tcBorders>
          </w:tcPr>
          <w:p w:rsidR="00E85C84" w:rsidRDefault="00E85C84" w:rsidP="00DC16EB">
            <w:pPr>
              <w:pStyle w:val="tekstost"/>
              <w:numPr>
                <w:ilvl w:val="12"/>
                <w:numId w:val="0"/>
              </w:numPr>
              <w:jc w:val="center"/>
            </w:pPr>
          </w:p>
          <w:p w:rsidR="00E85C84" w:rsidRDefault="00E85C84" w:rsidP="00DC16EB">
            <w:pPr>
              <w:pStyle w:val="tekstost"/>
              <w:numPr>
                <w:ilvl w:val="12"/>
                <w:numId w:val="0"/>
              </w:numPr>
              <w:jc w:val="center"/>
            </w:pPr>
          </w:p>
          <w:p w:rsidR="00E85C84" w:rsidRDefault="00E85C84" w:rsidP="00DC16EB">
            <w:pPr>
              <w:pStyle w:val="tekstost"/>
              <w:numPr>
                <w:ilvl w:val="12"/>
                <w:numId w:val="0"/>
              </w:numPr>
              <w:jc w:val="center"/>
            </w:pPr>
            <w:r>
              <w:t>6 próbek</w:t>
            </w:r>
          </w:p>
          <w:p w:rsidR="00E85C84" w:rsidRDefault="00E85C84" w:rsidP="00DC16EB">
            <w:pPr>
              <w:pStyle w:val="tekstost"/>
              <w:numPr>
                <w:ilvl w:val="12"/>
                <w:numId w:val="0"/>
              </w:numPr>
              <w:jc w:val="center"/>
            </w:pPr>
          </w:p>
          <w:p w:rsidR="00E85C84" w:rsidRDefault="00E85C84" w:rsidP="00DC16EB">
            <w:pPr>
              <w:pStyle w:val="tekstost"/>
              <w:numPr>
                <w:ilvl w:val="12"/>
                <w:numId w:val="0"/>
              </w:numPr>
              <w:jc w:val="center"/>
            </w:pPr>
            <w:r>
              <w:t>6 próbek</w:t>
            </w:r>
          </w:p>
          <w:p w:rsidR="00E85C84" w:rsidRDefault="00E85C84" w:rsidP="00DC16EB">
            <w:pPr>
              <w:pStyle w:val="tekstost"/>
              <w:numPr>
                <w:ilvl w:val="12"/>
                <w:numId w:val="0"/>
              </w:numPr>
              <w:jc w:val="center"/>
            </w:pPr>
          </w:p>
          <w:p w:rsidR="00E85C84" w:rsidRDefault="00E85C84" w:rsidP="00DC16EB">
            <w:pPr>
              <w:pStyle w:val="tekstost"/>
              <w:numPr>
                <w:ilvl w:val="12"/>
                <w:numId w:val="0"/>
              </w:numPr>
              <w:jc w:val="center"/>
            </w:pPr>
            <w:r>
              <w:t>3 próbki</w:t>
            </w:r>
          </w:p>
        </w:tc>
        <w:tc>
          <w:tcPr>
            <w:tcW w:w="1311" w:type="dxa"/>
            <w:tcBorders>
              <w:top w:val="single" w:sz="6" w:space="0" w:color="auto"/>
              <w:bottom w:val="single" w:sz="6" w:space="0" w:color="auto"/>
              <w:right w:val="single" w:sz="6" w:space="0" w:color="auto"/>
            </w:tcBorders>
          </w:tcPr>
          <w:p w:rsidR="00E85C84" w:rsidRDefault="00E85C84" w:rsidP="00DC16EB">
            <w:pPr>
              <w:pStyle w:val="tekstost"/>
              <w:numPr>
                <w:ilvl w:val="12"/>
                <w:numId w:val="0"/>
              </w:numPr>
              <w:jc w:val="center"/>
            </w:pPr>
          </w:p>
          <w:p w:rsidR="00E85C84" w:rsidRDefault="00E85C84" w:rsidP="00DC16EB">
            <w:pPr>
              <w:pStyle w:val="tekstost"/>
              <w:numPr>
                <w:ilvl w:val="12"/>
                <w:numId w:val="0"/>
              </w:numPr>
              <w:jc w:val="center"/>
            </w:pPr>
          </w:p>
          <w:p w:rsidR="00E85C84" w:rsidRDefault="00E85C84" w:rsidP="00DC16EB">
            <w:pPr>
              <w:pStyle w:val="tekstost"/>
              <w:numPr>
                <w:ilvl w:val="12"/>
                <w:numId w:val="0"/>
              </w:numPr>
              <w:jc w:val="center"/>
            </w:pPr>
          </w:p>
          <w:p w:rsidR="00E85C84" w:rsidRDefault="00E85C84" w:rsidP="00DC16EB">
            <w:pPr>
              <w:pStyle w:val="tekstost"/>
              <w:numPr>
                <w:ilvl w:val="12"/>
                <w:numId w:val="0"/>
              </w:numPr>
              <w:jc w:val="center"/>
            </w:pPr>
          </w:p>
          <w:p w:rsidR="00E85C84" w:rsidRDefault="00E85C84" w:rsidP="00DC16EB">
            <w:pPr>
              <w:pStyle w:val="tekstost"/>
              <w:numPr>
                <w:ilvl w:val="12"/>
                <w:numId w:val="0"/>
              </w:numPr>
              <w:jc w:val="center"/>
            </w:pPr>
            <w:smartTag w:uri="urn:schemas-microsoft-com:office:smarttags" w:element="metricconverter">
              <w:smartTagPr>
                <w:attr w:name="ProductID" w:val="400 m2"/>
              </w:smartTagPr>
              <w:r>
                <w:t>400 m</w:t>
              </w:r>
              <w:r>
                <w:rPr>
                  <w:vertAlign w:val="superscript"/>
                </w:rPr>
                <w:t>2</w:t>
              </w:r>
            </w:smartTag>
          </w:p>
        </w:tc>
      </w:tr>
      <w:tr w:rsidR="00E85C84">
        <w:tc>
          <w:tcPr>
            <w:tcW w:w="496" w:type="dxa"/>
            <w:tcBorders>
              <w:top w:val="single" w:sz="6" w:space="0" w:color="auto"/>
              <w:left w:val="single" w:sz="6" w:space="0" w:color="auto"/>
              <w:bottom w:val="single" w:sz="6" w:space="0" w:color="auto"/>
              <w:right w:val="single" w:sz="6" w:space="0" w:color="auto"/>
            </w:tcBorders>
          </w:tcPr>
          <w:p w:rsidR="00E85C84" w:rsidRDefault="00E85C84" w:rsidP="00DC16EB">
            <w:pPr>
              <w:pStyle w:val="tekstost"/>
              <w:numPr>
                <w:ilvl w:val="12"/>
                <w:numId w:val="0"/>
              </w:numPr>
              <w:spacing w:before="120"/>
              <w:jc w:val="center"/>
            </w:pPr>
            <w:r>
              <w:t>8</w:t>
            </w:r>
          </w:p>
        </w:tc>
        <w:tc>
          <w:tcPr>
            <w:tcW w:w="4394" w:type="dxa"/>
            <w:tcBorders>
              <w:top w:val="single" w:sz="6" w:space="0" w:color="auto"/>
              <w:left w:val="single" w:sz="6" w:space="0" w:color="auto"/>
              <w:bottom w:val="single" w:sz="6" w:space="0" w:color="auto"/>
              <w:right w:val="single" w:sz="6" w:space="0" w:color="auto"/>
            </w:tcBorders>
          </w:tcPr>
          <w:p w:rsidR="00E85C84" w:rsidRDefault="00E85C84" w:rsidP="00DC16EB">
            <w:pPr>
              <w:pStyle w:val="tekstost"/>
              <w:numPr>
                <w:ilvl w:val="12"/>
                <w:numId w:val="0"/>
              </w:numPr>
              <w:spacing w:before="120"/>
            </w:pPr>
            <w:r>
              <w:t xml:space="preserve">Mrozoodporność </w:t>
            </w:r>
            <w:r>
              <w:rPr>
                <w:vertAlign w:val="superscript"/>
              </w:rPr>
              <w:t>3)</w:t>
            </w:r>
          </w:p>
        </w:tc>
        <w:tc>
          <w:tcPr>
            <w:tcW w:w="2620" w:type="dxa"/>
            <w:gridSpan w:val="2"/>
            <w:tcBorders>
              <w:top w:val="single" w:sz="6" w:space="0" w:color="auto"/>
              <w:left w:val="single" w:sz="6" w:space="0" w:color="auto"/>
              <w:bottom w:val="single" w:sz="6" w:space="0" w:color="auto"/>
              <w:right w:val="single" w:sz="6" w:space="0" w:color="auto"/>
            </w:tcBorders>
          </w:tcPr>
          <w:p w:rsidR="00E85C84" w:rsidRDefault="00E85C84" w:rsidP="00DC16EB">
            <w:pPr>
              <w:pStyle w:val="tekstost"/>
              <w:numPr>
                <w:ilvl w:val="12"/>
                <w:numId w:val="0"/>
              </w:numPr>
              <w:jc w:val="center"/>
            </w:pPr>
            <w:r>
              <w:t>przy projektowaniu i w przypadkach wątpliwych</w:t>
            </w:r>
          </w:p>
        </w:tc>
      </w:tr>
      <w:tr w:rsidR="00E85C84">
        <w:tc>
          <w:tcPr>
            <w:tcW w:w="496" w:type="dxa"/>
            <w:tcBorders>
              <w:top w:val="single" w:sz="6" w:space="0" w:color="auto"/>
              <w:left w:val="single" w:sz="6" w:space="0" w:color="auto"/>
              <w:bottom w:val="single" w:sz="6" w:space="0" w:color="auto"/>
              <w:right w:val="single" w:sz="6" w:space="0" w:color="auto"/>
            </w:tcBorders>
          </w:tcPr>
          <w:p w:rsidR="00E85C84" w:rsidRDefault="00E85C84" w:rsidP="00DC16EB">
            <w:pPr>
              <w:pStyle w:val="tekstost"/>
              <w:numPr>
                <w:ilvl w:val="12"/>
                <w:numId w:val="0"/>
              </w:numPr>
              <w:jc w:val="center"/>
            </w:pPr>
          </w:p>
          <w:p w:rsidR="00E85C84" w:rsidRDefault="00E85C84" w:rsidP="00DC16EB">
            <w:pPr>
              <w:pStyle w:val="tekstost"/>
              <w:numPr>
                <w:ilvl w:val="12"/>
                <w:numId w:val="0"/>
              </w:numPr>
              <w:spacing w:before="60"/>
              <w:jc w:val="center"/>
            </w:pPr>
            <w:r>
              <w:t>9</w:t>
            </w:r>
          </w:p>
          <w:p w:rsidR="00E85C84" w:rsidRDefault="00E85C84" w:rsidP="00DC16EB">
            <w:pPr>
              <w:pStyle w:val="tekstost"/>
              <w:numPr>
                <w:ilvl w:val="12"/>
                <w:numId w:val="0"/>
              </w:numPr>
              <w:jc w:val="center"/>
            </w:pPr>
            <w:r>
              <w:t>10</w:t>
            </w:r>
          </w:p>
          <w:p w:rsidR="00E85C84" w:rsidRDefault="00E85C84" w:rsidP="00DC16EB">
            <w:pPr>
              <w:pStyle w:val="tekstost"/>
              <w:numPr>
                <w:ilvl w:val="12"/>
                <w:numId w:val="0"/>
              </w:numPr>
              <w:jc w:val="center"/>
            </w:pPr>
            <w:r>
              <w:lastRenderedPageBreak/>
              <w:t>11</w:t>
            </w:r>
          </w:p>
          <w:p w:rsidR="00E85C84" w:rsidRDefault="00E85C84" w:rsidP="00DC16EB">
            <w:pPr>
              <w:pStyle w:val="tekstost"/>
              <w:numPr>
                <w:ilvl w:val="12"/>
                <w:numId w:val="0"/>
              </w:numPr>
              <w:jc w:val="center"/>
            </w:pPr>
            <w:r>
              <w:t>12</w:t>
            </w:r>
          </w:p>
        </w:tc>
        <w:tc>
          <w:tcPr>
            <w:tcW w:w="4394" w:type="dxa"/>
            <w:tcBorders>
              <w:top w:val="single" w:sz="6" w:space="0" w:color="auto"/>
              <w:left w:val="single" w:sz="6" w:space="0" w:color="auto"/>
              <w:bottom w:val="single" w:sz="6" w:space="0" w:color="auto"/>
              <w:right w:val="single" w:sz="6" w:space="0" w:color="auto"/>
            </w:tcBorders>
          </w:tcPr>
          <w:p w:rsidR="00E85C84" w:rsidRDefault="00E85C84" w:rsidP="00DC16EB">
            <w:pPr>
              <w:pStyle w:val="tekstost"/>
              <w:numPr>
                <w:ilvl w:val="12"/>
                <w:numId w:val="0"/>
              </w:numPr>
            </w:pPr>
            <w:r>
              <w:lastRenderedPageBreak/>
              <w:t>Badanie spoiwa:</w:t>
            </w:r>
          </w:p>
          <w:p w:rsidR="00E85C84" w:rsidRDefault="00E85C84" w:rsidP="00DC16EB">
            <w:pPr>
              <w:pStyle w:val="tekstost"/>
              <w:numPr>
                <w:ilvl w:val="0"/>
                <w:numId w:val="1"/>
              </w:numPr>
            </w:pPr>
            <w:r>
              <w:t>cementu,</w:t>
            </w:r>
          </w:p>
          <w:p w:rsidR="00E85C84" w:rsidRDefault="00E85C84" w:rsidP="00DC16EB">
            <w:pPr>
              <w:pStyle w:val="tekstost"/>
              <w:numPr>
                <w:ilvl w:val="0"/>
                <w:numId w:val="1"/>
              </w:numPr>
            </w:pPr>
            <w:r>
              <w:t>wapna,</w:t>
            </w:r>
          </w:p>
          <w:p w:rsidR="00E85C84" w:rsidRDefault="00E85C84" w:rsidP="00DC16EB">
            <w:pPr>
              <w:pStyle w:val="tekstost"/>
              <w:numPr>
                <w:ilvl w:val="0"/>
                <w:numId w:val="1"/>
              </w:numPr>
            </w:pPr>
            <w:r>
              <w:t>popiołów lotnych,</w:t>
            </w:r>
          </w:p>
          <w:p w:rsidR="00E85C84" w:rsidRDefault="00E85C84" w:rsidP="00DC16EB">
            <w:pPr>
              <w:pStyle w:val="tekstost"/>
              <w:numPr>
                <w:ilvl w:val="0"/>
                <w:numId w:val="1"/>
              </w:numPr>
            </w:pPr>
            <w:r>
              <w:lastRenderedPageBreak/>
              <w:t>żużla granulowanego</w:t>
            </w:r>
          </w:p>
        </w:tc>
        <w:tc>
          <w:tcPr>
            <w:tcW w:w="2620" w:type="dxa"/>
            <w:gridSpan w:val="2"/>
            <w:tcBorders>
              <w:top w:val="single" w:sz="6" w:space="0" w:color="auto"/>
              <w:left w:val="single" w:sz="6" w:space="0" w:color="auto"/>
              <w:bottom w:val="single" w:sz="6" w:space="0" w:color="auto"/>
              <w:right w:val="single" w:sz="6" w:space="0" w:color="auto"/>
            </w:tcBorders>
          </w:tcPr>
          <w:p w:rsidR="00E85C84" w:rsidRDefault="00E85C84">
            <w:pPr>
              <w:pStyle w:val="tekstost"/>
              <w:jc w:val="center"/>
            </w:pPr>
          </w:p>
          <w:p w:rsidR="00E85C84" w:rsidRDefault="00E85C84">
            <w:pPr>
              <w:pStyle w:val="tekstost"/>
              <w:jc w:val="center"/>
            </w:pPr>
            <w:r>
              <w:t>przy projektowaniu składu mieszanki i przy każdej zmianie</w:t>
            </w:r>
          </w:p>
        </w:tc>
      </w:tr>
      <w:tr w:rsidR="00E85C84">
        <w:tc>
          <w:tcPr>
            <w:tcW w:w="496" w:type="dxa"/>
            <w:tcBorders>
              <w:top w:val="single" w:sz="6" w:space="0" w:color="auto"/>
              <w:left w:val="single" w:sz="6" w:space="0" w:color="auto"/>
              <w:bottom w:val="single" w:sz="6" w:space="0" w:color="auto"/>
              <w:right w:val="single" w:sz="6" w:space="0" w:color="auto"/>
            </w:tcBorders>
          </w:tcPr>
          <w:p w:rsidR="00E85C84" w:rsidRDefault="00E85C84">
            <w:pPr>
              <w:pStyle w:val="tekstost"/>
              <w:spacing w:before="120"/>
              <w:jc w:val="center"/>
            </w:pPr>
            <w:r>
              <w:lastRenderedPageBreak/>
              <w:t>13</w:t>
            </w:r>
          </w:p>
        </w:tc>
        <w:tc>
          <w:tcPr>
            <w:tcW w:w="4394" w:type="dxa"/>
            <w:tcBorders>
              <w:top w:val="single" w:sz="6" w:space="0" w:color="auto"/>
              <w:left w:val="single" w:sz="6" w:space="0" w:color="auto"/>
              <w:bottom w:val="single" w:sz="6" w:space="0" w:color="auto"/>
              <w:right w:val="single" w:sz="6" w:space="0" w:color="auto"/>
            </w:tcBorders>
          </w:tcPr>
          <w:p w:rsidR="00E85C84" w:rsidRDefault="00E85C84">
            <w:pPr>
              <w:pStyle w:val="tekstost"/>
              <w:spacing w:before="120"/>
            </w:pPr>
            <w:r>
              <w:t>Badanie wody</w:t>
            </w:r>
          </w:p>
        </w:tc>
        <w:tc>
          <w:tcPr>
            <w:tcW w:w="2620" w:type="dxa"/>
            <w:gridSpan w:val="2"/>
            <w:tcBorders>
              <w:top w:val="single" w:sz="6" w:space="0" w:color="auto"/>
              <w:left w:val="single" w:sz="6" w:space="0" w:color="auto"/>
              <w:bottom w:val="single" w:sz="6" w:space="0" w:color="auto"/>
              <w:right w:val="single" w:sz="6" w:space="0" w:color="auto"/>
            </w:tcBorders>
          </w:tcPr>
          <w:p w:rsidR="00E85C84" w:rsidRDefault="00E85C84">
            <w:pPr>
              <w:pStyle w:val="tekstost"/>
              <w:jc w:val="center"/>
            </w:pPr>
            <w:r>
              <w:t>dla każdego wątpliwego źródła</w:t>
            </w:r>
          </w:p>
        </w:tc>
      </w:tr>
      <w:tr w:rsidR="00E85C84">
        <w:tc>
          <w:tcPr>
            <w:tcW w:w="496" w:type="dxa"/>
            <w:tcBorders>
              <w:top w:val="single" w:sz="6" w:space="0" w:color="auto"/>
              <w:left w:val="single" w:sz="6" w:space="0" w:color="auto"/>
              <w:bottom w:val="single" w:sz="6" w:space="0" w:color="auto"/>
              <w:right w:val="single" w:sz="6" w:space="0" w:color="auto"/>
            </w:tcBorders>
          </w:tcPr>
          <w:p w:rsidR="00E85C84" w:rsidRDefault="00E85C84">
            <w:pPr>
              <w:pStyle w:val="tekstost"/>
              <w:jc w:val="center"/>
            </w:pPr>
          </w:p>
          <w:p w:rsidR="00E85C84" w:rsidRDefault="00E85C84">
            <w:pPr>
              <w:pStyle w:val="tekstost"/>
              <w:jc w:val="center"/>
            </w:pPr>
            <w:r>
              <w:t>14</w:t>
            </w:r>
          </w:p>
        </w:tc>
        <w:tc>
          <w:tcPr>
            <w:tcW w:w="4394" w:type="dxa"/>
            <w:tcBorders>
              <w:top w:val="single" w:sz="6" w:space="0" w:color="auto"/>
              <w:left w:val="single" w:sz="6" w:space="0" w:color="auto"/>
              <w:bottom w:val="single" w:sz="6" w:space="0" w:color="auto"/>
              <w:right w:val="single" w:sz="6" w:space="0" w:color="auto"/>
            </w:tcBorders>
          </w:tcPr>
          <w:p w:rsidR="00E85C84" w:rsidRDefault="00E85C84">
            <w:pPr>
              <w:pStyle w:val="tekstost"/>
            </w:pPr>
          </w:p>
          <w:p w:rsidR="00E85C84" w:rsidRDefault="00E85C84">
            <w:pPr>
              <w:pStyle w:val="tekstost"/>
            </w:pPr>
            <w:r>
              <w:t>Badanie właściwości gruntu lub kruszywa</w:t>
            </w:r>
          </w:p>
        </w:tc>
        <w:tc>
          <w:tcPr>
            <w:tcW w:w="2620" w:type="dxa"/>
            <w:gridSpan w:val="2"/>
            <w:tcBorders>
              <w:top w:val="single" w:sz="6" w:space="0" w:color="auto"/>
              <w:left w:val="single" w:sz="6" w:space="0" w:color="auto"/>
              <w:bottom w:val="single" w:sz="6" w:space="0" w:color="auto"/>
              <w:right w:val="single" w:sz="6" w:space="0" w:color="auto"/>
            </w:tcBorders>
          </w:tcPr>
          <w:p w:rsidR="00E85C84" w:rsidRDefault="00E85C84">
            <w:pPr>
              <w:pStyle w:val="tekstost"/>
              <w:jc w:val="center"/>
            </w:pPr>
            <w:r>
              <w:t>dla każdej partii i przy każdej zmianie rodzaju gruntu lub kruszywa</w:t>
            </w:r>
          </w:p>
        </w:tc>
      </w:tr>
      <w:tr w:rsidR="00E85C84">
        <w:tc>
          <w:tcPr>
            <w:tcW w:w="496" w:type="dxa"/>
            <w:tcBorders>
              <w:top w:val="single" w:sz="6" w:space="0" w:color="auto"/>
              <w:left w:val="single" w:sz="6" w:space="0" w:color="auto"/>
              <w:bottom w:val="single" w:sz="6" w:space="0" w:color="auto"/>
              <w:right w:val="single" w:sz="6" w:space="0" w:color="auto"/>
            </w:tcBorders>
          </w:tcPr>
          <w:p w:rsidR="00E85C84" w:rsidRDefault="00E85C84">
            <w:pPr>
              <w:pStyle w:val="tekstost"/>
              <w:spacing w:before="120"/>
              <w:jc w:val="center"/>
            </w:pPr>
            <w:r>
              <w:t>15</w:t>
            </w:r>
          </w:p>
        </w:tc>
        <w:tc>
          <w:tcPr>
            <w:tcW w:w="4394" w:type="dxa"/>
            <w:tcBorders>
              <w:top w:val="single" w:sz="6" w:space="0" w:color="auto"/>
              <w:left w:val="single" w:sz="6" w:space="0" w:color="auto"/>
              <w:bottom w:val="single" w:sz="6" w:space="0" w:color="auto"/>
              <w:right w:val="single" w:sz="6" w:space="0" w:color="auto"/>
            </w:tcBorders>
          </w:tcPr>
          <w:p w:rsidR="00E85C84" w:rsidRDefault="00E85C84">
            <w:pPr>
              <w:pStyle w:val="tekstost"/>
              <w:spacing w:before="120"/>
            </w:pPr>
            <w:r>
              <w:t xml:space="preserve">Wskaźnik nośności CBR </w:t>
            </w:r>
            <w:r>
              <w:rPr>
                <w:vertAlign w:val="superscript"/>
              </w:rPr>
              <w:t>4)</w:t>
            </w:r>
          </w:p>
        </w:tc>
        <w:tc>
          <w:tcPr>
            <w:tcW w:w="2620" w:type="dxa"/>
            <w:gridSpan w:val="2"/>
            <w:tcBorders>
              <w:top w:val="single" w:sz="6" w:space="0" w:color="auto"/>
              <w:left w:val="single" w:sz="6" w:space="0" w:color="auto"/>
              <w:bottom w:val="single" w:sz="6" w:space="0" w:color="auto"/>
              <w:right w:val="single" w:sz="6" w:space="0" w:color="auto"/>
            </w:tcBorders>
          </w:tcPr>
          <w:p w:rsidR="00E85C84" w:rsidRDefault="00E85C84">
            <w:pPr>
              <w:pStyle w:val="tekstost"/>
              <w:jc w:val="center"/>
            </w:pPr>
            <w:r>
              <w:t>w przypadkach wątpliwych            i na zlecenie Inżyniera</w:t>
            </w:r>
          </w:p>
        </w:tc>
      </w:tr>
    </w:tbl>
    <w:p w:rsidR="00E85C84" w:rsidRDefault="00E85C84">
      <w:pPr>
        <w:pStyle w:val="tekstost"/>
      </w:pPr>
    </w:p>
    <w:p w:rsidR="00E85C84" w:rsidRDefault="00E85C84" w:rsidP="00DC16EB">
      <w:pPr>
        <w:pStyle w:val="tekstost"/>
        <w:numPr>
          <w:ilvl w:val="0"/>
          <w:numId w:val="4"/>
        </w:numPr>
      </w:pPr>
      <w:r>
        <w:t>Badanie wykonuje się dla gruntów spoistych</w:t>
      </w:r>
    </w:p>
    <w:p w:rsidR="00E85C84" w:rsidRDefault="00E85C84" w:rsidP="00DC16EB">
      <w:pPr>
        <w:pStyle w:val="tekstost"/>
        <w:numPr>
          <w:ilvl w:val="0"/>
          <w:numId w:val="4"/>
        </w:numPr>
      </w:pPr>
      <w:r>
        <w:t>Badanie wykonuje się przy stabilizacji gruntu metodą mieszania na miejscu</w:t>
      </w:r>
    </w:p>
    <w:p w:rsidR="00E85C84" w:rsidRDefault="00E85C84" w:rsidP="00DC16EB">
      <w:pPr>
        <w:pStyle w:val="tekstost"/>
        <w:numPr>
          <w:ilvl w:val="0"/>
          <w:numId w:val="4"/>
        </w:numPr>
      </w:pPr>
      <w:r>
        <w:t>Badanie wykonuje się przy stabilizacji gruntu lub kruszyw cementem, wapnem                     i popiołami lotnymi</w:t>
      </w:r>
    </w:p>
    <w:p w:rsidR="00E85C84" w:rsidRDefault="00E85C84" w:rsidP="00DC16EB">
      <w:pPr>
        <w:pStyle w:val="tekstost"/>
        <w:numPr>
          <w:ilvl w:val="0"/>
          <w:numId w:val="4"/>
        </w:numPr>
      </w:pPr>
      <w:r>
        <w:t>Badanie wykonuje się przy stabilizacji gruntu wapnem.</w:t>
      </w:r>
    </w:p>
    <w:p w:rsidR="00E85C84" w:rsidRDefault="00E85C84">
      <w:pPr>
        <w:pStyle w:val="tekstost"/>
      </w:pPr>
    </w:p>
    <w:p w:rsidR="00E85C84" w:rsidRDefault="00E85C84">
      <w:pPr>
        <w:pStyle w:val="tekstost"/>
      </w:pPr>
      <w:r>
        <w:rPr>
          <w:b/>
        </w:rPr>
        <w:t xml:space="preserve">6.3.2. </w:t>
      </w:r>
      <w:r>
        <w:t>Uziarnienie gruntu lub kruszywa</w:t>
      </w:r>
    </w:p>
    <w:p w:rsidR="00E85C84" w:rsidRDefault="00E85C84">
      <w:pPr>
        <w:pStyle w:val="tekstost"/>
        <w:spacing w:before="120"/>
      </w:pPr>
      <w:r>
        <w:tab/>
        <w:t>Próbki do badań należy pobierać z mieszarek lub z podłoża przed podaniem spoiwa. Uziarnienie kruszywa lub gruntu powinno być zgodne z wymaganiami podanymi w OST dotyczących poszczególnych rodzajów podbudów i ulepszonego podłoża.</w:t>
      </w:r>
    </w:p>
    <w:p w:rsidR="00E85C84" w:rsidRDefault="00E85C84">
      <w:pPr>
        <w:pStyle w:val="tekstost"/>
        <w:spacing w:before="120"/>
      </w:pPr>
      <w:r>
        <w:rPr>
          <w:b/>
        </w:rPr>
        <w:t xml:space="preserve">6.3.3. </w:t>
      </w:r>
      <w:r>
        <w:t>Wilgotność mieszanki gruntu lub kruszywa ze spoiwami</w:t>
      </w:r>
    </w:p>
    <w:p w:rsidR="00E85C84" w:rsidRDefault="00E85C84">
      <w:pPr>
        <w:pStyle w:val="tekstost"/>
        <w:spacing w:before="120"/>
      </w:pPr>
      <w:r>
        <w:tab/>
        <w:t>Wilgotność mieszanki powinna być równa wilgotności optymalnej, określonej w projekcie składu tej mieszanki, z tolerancją +10% -20% jej wartości.</w:t>
      </w:r>
    </w:p>
    <w:p w:rsidR="00E85C84" w:rsidRDefault="00E85C84">
      <w:pPr>
        <w:pStyle w:val="tekstost"/>
        <w:spacing w:before="120"/>
      </w:pPr>
      <w:r>
        <w:rPr>
          <w:b/>
        </w:rPr>
        <w:t xml:space="preserve">6.3.4. </w:t>
      </w:r>
      <w:r>
        <w:t>Rozdrobnienie gruntu</w:t>
      </w:r>
    </w:p>
    <w:p w:rsidR="00E85C84" w:rsidRDefault="00E85C84">
      <w:pPr>
        <w:pStyle w:val="tekstost"/>
        <w:spacing w:before="120"/>
      </w:pPr>
      <w:r>
        <w:tab/>
        <w:t xml:space="preserve">Grunt powinien być spulchniony i rozdrobniony tak, aby wskaźnik rozdrobnienia był co najmniej równy 80% (przez sito o średnicy </w:t>
      </w:r>
      <w:smartTag w:uri="urn:schemas-microsoft-com:office:smarttags" w:element="metricconverter">
        <w:smartTagPr>
          <w:attr w:name="ProductID" w:val="4 mm"/>
        </w:smartTagPr>
        <w:r>
          <w:t>4 mm</w:t>
        </w:r>
      </w:smartTag>
      <w:r>
        <w:t xml:space="preserve"> powinno przejść 80% gruntu).</w:t>
      </w:r>
    </w:p>
    <w:p w:rsidR="00E85C84" w:rsidRDefault="00E85C84">
      <w:pPr>
        <w:pStyle w:val="tekstost"/>
        <w:spacing w:before="120"/>
      </w:pPr>
      <w:r>
        <w:rPr>
          <w:b/>
        </w:rPr>
        <w:t xml:space="preserve">6.3.5. </w:t>
      </w:r>
      <w:r>
        <w:t>Jednorodność i głębokość wymieszania</w:t>
      </w:r>
    </w:p>
    <w:p w:rsidR="00E85C84" w:rsidRDefault="00E85C84">
      <w:pPr>
        <w:pStyle w:val="tekstost"/>
        <w:spacing w:before="120"/>
      </w:pPr>
      <w:r>
        <w:tab/>
        <w:t>Jednorodność wymieszania gruntu ze spoiwem polega na ocenie wizualnej jednolitego zabarwienia mieszanki.</w:t>
      </w:r>
    </w:p>
    <w:p w:rsidR="00E85C84" w:rsidRDefault="00E85C84">
      <w:pPr>
        <w:pStyle w:val="tekstost"/>
      </w:pPr>
      <w:r>
        <w:tab/>
        <w:t xml:space="preserve">Głębokość wymieszania mierzy się w odległości min. </w:t>
      </w:r>
      <w:smartTag w:uri="urn:schemas-microsoft-com:office:smarttags" w:element="metricconverter">
        <w:smartTagPr>
          <w:attr w:name="ProductID" w:val="0,5 m"/>
        </w:smartTagPr>
        <w:r>
          <w:t>0,5 m</w:t>
        </w:r>
      </w:smartTag>
      <w:r>
        <w:t xml:space="preserve"> od krawędzi podbudowy czy ulepszonego podłoża. Głębokość wymieszania powinna być taka, aby grubość warstwy po zagęszczeniu była równa projektowanej.</w:t>
      </w:r>
    </w:p>
    <w:p w:rsidR="00E85C84" w:rsidRDefault="00E85C84">
      <w:pPr>
        <w:pStyle w:val="tekstost"/>
        <w:spacing w:before="120"/>
      </w:pPr>
      <w:r>
        <w:rPr>
          <w:b/>
        </w:rPr>
        <w:t xml:space="preserve">6.3.6. </w:t>
      </w:r>
      <w:r>
        <w:t>Zagęszczenie warstwy</w:t>
      </w:r>
    </w:p>
    <w:p w:rsidR="00E85C84" w:rsidRDefault="00E85C84">
      <w:pPr>
        <w:pStyle w:val="tekstost"/>
        <w:spacing w:before="120"/>
      </w:pPr>
      <w:r>
        <w:tab/>
        <w:t>Mieszanka powinna być zagęszczana do osiągnięcia wskaźnika zagęszczenia nie mniejszego od 1,00 oznaczonego zgodnie z BN-77/8931-12 [25].</w:t>
      </w:r>
    </w:p>
    <w:p w:rsidR="00E85C84" w:rsidRDefault="00E85C84">
      <w:pPr>
        <w:pStyle w:val="tekstost"/>
        <w:spacing w:before="120"/>
      </w:pPr>
      <w:r>
        <w:rPr>
          <w:b/>
        </w:rPr>
        <w:t xml:space="preserve">6.3.7. </w:t>
      </w:r>
      <w:r>
        <w:t>Grubość podbudowy lub ulepszonego podłoża</w:t>
      </w:r>
    </w:p>
    <w:p w:rsidR="00E85C84" w:rsidRDefault="00E85C84">
      <w:pPr>
        <w:pStyle w:val="tekstost"/>
        <w:spacing w:before="120"/>
      </w:pPr>
      <w:r>
        <w:tab/>
        <w:t xml:space="preserve">Grubość warstwy należy mierzyć bezpośrednio po jej zagęszczeniu w odległości co najmniej </w:t>
      </w:r>
      <w:smartTag w:uri="urn:schemas-microsoft-com:office:smarttags" w:element="metricconverter">
        <w:smartTagPr>
          <w:attr w:name="ProductID" w:val="0,5 m"/>
        </w:smartTagPr>
        <w:r>
          <w:t>0,5 m</w:t>
        </w:r>
      </w:smartTag>
      <w:r>
        <w:t xml:space="preserve"> od krawędzi. Grubość warstwy nie może różnić się od projektowanej o więcej niż </w:t>
      </w:r>
      <w:r>
        <w:sym w:font="Symbol" w:char="F0B1"/>
      </w:r>
      <w:r>
        <w:t xml:space="preserve"> </w:t>
      </w:r>
      <w:smartTag w:uri="urn:schemas-microsoft-com:office:smarttags" w:element="metricconverter">
        <w:smartTagPr>
          <w:attr w:name="ProductID" w:val="1 cm"/>
        </w:smartTagPr>
        <w:r>
          <w:t xml:space="preserve">1 </w:t>
        </w:r>
        <w:proofErr w:type="spellStart"/>
        <w:r>
          <w:t>cm</w:t>
        </w:r>
      </w:smartTag>
      <w:proofErr w:type="spellEnd"/>
      <w:r>
        <w:t>.</w:t>
      </w:r>
    </w:p>
    <w:p w:rsidR="00E85C84" w:rsidRDefault="00E85C84">
      <w:pPr>
        <w:pStyle w:val="tekstost"/>
        <w:spacing w:before="120"/>
      </w:pPr>
      <w:r>
        <w:rPr>
          <w:b/>
        </w:rPr>
        <w:t xml:space="preserve">6.3.8. </w:t>
      </w:r>
      <w:r>
        <w:t>Wytrzymałość na ściskanie</w:t>
      </w:r>
    </w:p>
    <w:p w:rsidR="00E85C84" w:rsidRDefault="00E85C84">
      <w:pPr>
        <w:pStyle w:val="tekstost"/>
        <w:spacing w:before="120"/>
      </w:pPr>
      <w:r>
        <w:tab/>
        <w:t xml:space="preserve">Wytrzymałość na ściskanie określa się na próbkach walcowych o średnicy i wysokości </w:t>
      </w:r>
      <w:smartTag w:uri="urn:schemas-microsoft-com:office:smarttags" w:element="metricconverter">
        <w:smartTagPr>
          <w:attr w:name="ProductID" w:val="8 cm"/>
        </w:smartTagPr>
        <w:r>
          <w:t xml:space="preserve">8 </w:t>
        </w:r>
        <w:proofErr w:type="spellStart"/>
        <w:r>
          <w:t>cm</w:t>
        </w:r>
      </w:smartTag>
      <w:proofErr w:type="spellEnd"/>
      <w:r>
        <w:t>. Próbki do badań należy pobierać z miejsc wybranych losowo, w warstwie rozłożonej przed jej zagęszczeniem. Próbki w ilości 6 sztuk należy formować i przechowywać zgodnie z normami dotyczącymi poszczególnych rodzajów stabilizacji spoiwami. Trzy próbki należy badać po 7 lub 14 dniach oraz po 28 lub 42 dniach przechowywania, a w przypadku stabilizacji żużlem granulowanym po 90 dniach przechowywania. Wyniki wytrzymałości na ściskanie powinny być zgodne z wymaganiami podanymi w OST dotyczących poszczególnych rodzajów podbudów i ulepszonego podłoża.</w:t>
      </w:r>
    </w:p>
    <w:p w:rsidR="00E85C84" w:rsidRDefault="00E85C84">
      <w:pPr>
        <w:pStyle w:val="tekstost"/>
        <w:spacing w:before="120"/>
      </w:pPr>
      <w:r>
        <w:rPr>
          <w:b/>
        </w:rPr>
        <w:t xml:space="preserve">6.3.9. </w:t>
      </w:r>
      <w:r>
        <w:t>Mrozoodporność</w:t>
      </w:r>
    </w:p>
    <w:p w:rsidR="00E85C84" w:rsidRDefault="00E85C84">
      <w:pPr>
        <w:pStyle w:val="tekstost"/>
        <w:spacing w:before="120"/>
      </w:pPr>
      <w:r>
        <w:lastRenderedPageBreak/>
        <w:tab/>
        <w:t>Wskaźnik mrozoodporności określany przez spadek wytrzymałości na ściskanie próbek poddawanych cyklom zamrażania i odmrażania powinien być zgodny z wymaganiami podanymi w OST dotyczących poszczególnych rodzajów podbudów i ulepszonego podłoża.</w:t>
      </w:r>
    </w:p>
    <w:p w:rsidR="00E85C84" w:rsidRDefault="00E85C84">
      <w:pPr>
        <w:pStyle w:val="tekstost"/>
        <w:spacing w:before="120"/>
      </w:pPr>
      <w:r>
        <w:rPr>
          <w:b/>
        </w:rPr>
        <w:t>6.3.10.</w:t>
      </w:r>
      <w:r>
        <w:t xml:space="preserve"> Badanie spoiwa</w:t>
      </w:r>
    </w:p>
    <w:p w:rsidR="00E85C84" w:rsidRDefault="00E85C84">
      <w:pPr>
        <w:pStyle w:val="tekstost"/>
        <w:spacing w:before="120"/>
      </w:pPr>
      <w:r>
        <w:tab/>
        <w:t>Dla każdej dostawy cementu, wapna, popiołów lotnych, żużla granulowanego, Wykonawca powinien określić właściwości podane w OST dotyczących poszczególnych rodzajów podbudów i ulepszonego podłoża.</w:t>
      </w:r>
    </w:p>
    <w:p w:rsidR="00E85C84" w:rsidRDefault="00E85C84">
      <w:pPr>
        <w:pStyle w:val="tekstost"/>
        <w:spacing w:before="120"/>
      </w:pPr>
      <w:r>
        <w:rPr>
          <w:b/>
        </w:rPr>
        <w:t xml:space="preserve">6.3.11. </w:t>
      </w:r>
      <w:r>
        <w:t>Badanie wody</w:t>
      </w:r>
    </w:p>
    <w:p w:rsidR="00E85C84" w:rsidRDefault="00E85C84">
      <w:pPr>
        <w:pStyle w:val="tekstost"/>
        <w:spacing w:before="120"/>
      </w:pPr>
      <w:r>
        <w:tab/>
        <w:t>W przypadkach wątpliwych należy przeprowadzić badania wody wg PN-B-32250 [13].</w:t>
      </w:r>
    </w:p>
    <w:p w:rsidR="00E85C84" w:rsidRDefault="00E85C84">
      <w:pPr>
        <w:pStyle w:val="tekstost"/>
        <w:spacing w:before="120"/>
      </w:pPr>
      <w:r>
        <w:rPr>
          <w:b/>
        </w:rPr>
        <w:t xml:space="preserve">6.3.12. </w:t>
      </w:r>
      <w:r>
        <w:t>Badanie właściwości gruntu lub kruszywa</w:t>
      </w:r>
    </w:p>
    <w:p w:rsidR="00E85C84" w:rsidRDefault="00E85C84">
      <w:pPr>
        <w:pStyle w:val="tekstost"/>
        <w:spacing w:before="120"/>
      </w:pPr>
      <w:r>
        <w:tab/>
        <w:t>Właściwości gruntu lub kruszywa należy badać przy każdej zmianie rodzaju gruntu lub kruszywa. Właściwości powinny być zgodne z wymaganiami podanymi w OST dotyczących poszczególnych rodzajów podbudów i ulepszonego podłoża.</w:t>
      </w:r>
    </w:p>
    <w:p w:rsidR="00E85C84" w:rsidRDefault="00E85C84">
      <w:pPr>
        <w:pStyle w:val="tekstost"/>
        <w:spacing w:before="120"/>
      </w:pPr>
      <w:r>
        <w:rPr>
          <w:b/>
        </w:rPr>
        <w:t xml:space="preserve">6.3.13. </w:t>
      </w:r>
      <w:r>
        <w:t>Wskaźnik nośności CBR</w:t>
      </w:r>
    </w:p>
    <w:p w:rsidR="00E85C84" w:rsidRDefault="00E85C84">
      <w:pPr>
        <w:pStyle w:val="tekstost"/>
        <w:spacing w:before="120"/>
      </w:pPr>
      <w:r>
        <w:tab/>
        <w:t>Wskaźnik nośności CBR określa się wg normy BN-70/8931-05 [13] dla próbek gruntu stabilizowanego wapnem, pielęgnowanych zgodnie z wymaganiami PN-S-96011 [16].</w:t>
      </w:r>
    </w:p>
    <w:p w:rsidR="00E85C84" w:rsidRDefault="00E85C84">
      <w:pPr>
        <w:pStyle w:val="Nagwek2"/>
        <w:spacing w:after="0"/>
      </w:pPr>
      <w:r>
        <w:t xml:space="preserve">6.4. Wymagania dotyczące cech geometrycznych i wytrzymałościowych podbudowy </w:t>
      </w:r>
    </w:p>
    <w:p w:rsidR="00E85C84" w:rsidRDefault="00E85C84">
      <w:pPr>
        <w:spacing w:after="120"/>
      </w:pPr>
      <w:r>
        <w:t xml:space="preserve">        </w:t>
      </w:r>
      <w:r>
        <w:rPr>
          <w:b/>
        </w:rPr>
        <w:t>lub ulepszonego podłoża stabilizowanych spoiwami</w:t>
      </w:r>
    </w:p>
    <w:p w:rsidR="00E85C84" w:rsidRDefault="00E85C84">
      <w:r>
        <w:rPr>
          <w:b/>
        </w:rPr>
        <w:t xml:space="preserve">6.4.1. </w:t>
      </w:r>
      <w:r>
        <w:t>Częstotliwość oraz zakres badań i  pomiarów</w:t>
      </w:r>
    </w:p>
    <w:p w:rsidR="00E85C84" w:rsidRDefault="00E85C84">
      <w:pPr>
        <w:spacing w:before="120"/>
      </w:pPr>
      <w:r>
        <w:tab/>
        <w:t xml:space="preserve"> Częstotliwość oraz zakres badań i pomiarów dotyczących cech geometrycznych  podaje  tablica 2.</w:t>
      </w:r>
    </w:p>
    <w:p w:rsidR="00E85C84" w:rsidRDefault="00E85C84">
      <w:pPr>
        <w:spacing w:before="60"/>
      </w:pPr>
      <w:r>
        <w:t xml:space="preserve">Tablica 2. Częstotliwość oraz zakres badań i  pomiarów wykonanej podbudowy lub </w:t>
      </w:r>
    </w:p>
    <w:p w:rsidR="00E85C84" w:rsidRDefault="00E85C84">
      <w:pPr>
        <w:spacing w:after="60"/>
      </w:pPr>
      <w:r>
        <w:tab/>
        <w:t xml:space="preserve">    ulepszonego podłoża stabilizowanych spoiwami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90"/>
        <w:gridCol w:w="3391"/>
        <w:gridCol w:w="3402"/>
      </w:tblGrid>
      <w:tr w:rsidR="00E85C84">
        <w:tc>
          <w:tcPr>
            <w:tcW w:w="790" w:type="dxa"/>
            <w:tcBorders>
              <w:bottom w:val="double" w:sz="6" w:space="0" w:color="auto"/>
            </w:tcBorders>
          </w:tcPr>
          <w:p w:rsidR="00E85C84" w:rsidRDefault="00E85C84">
            <w:pPr>
              <w:spacing w:before="120" w:after="60"/>
              <w:ind w:right="-11"/>
              <w:jc w:val="center"/>
              <w:rPr>
                <w:b/>
              </w:rPr>
            </w:pPr>
            <w:r>
              <w:t>Lp.</w:t>
            </w:r>
          </w:p>
        </w:tc>
        <w:tc>
          <w:tcPr>
            <w:tcW w:w="3391" w:type="dxa"/>
            <w:tcBorders>
              <w:bottom w:val="double" w:sz="6" w:space="0" w:color="auto"/>
            </w:tcBorders>
          </w:tcPr>
          <w:p w:rsidR="00E85C84" w:rsidRDefault="00E85C84">
            <w:pPr>
              <w:spacing w:before="120" w:after="60"/>
              <w:ind w:right="-11"/>
              <w:jc w:val="center"/>
              <w:rPr>
                <w:b/>
              </w:rPr>
            </w:pPr>
            <w:r>
              <w:t>Wyszczególnienie badań i pomiarów</w:t>
            </w:r>
          </w:p>
        </w:tc>
        <w:tc>
          <w:tcPr>
            <w:tcW w:w="3402" w:type="dxa"/>
            <w:tcBorders>
              <w:bottom w:val="double" w:sz="6" w:space="0" w:color="auto"/>
            </w:tcBorders>
          </w:tcPr>
          <w:p w:rsidR="00E85C84" w:rsidRDefault="00E85C84">
            <w:pPr>
              <w:ind w:right="-11"/>
              <w:jc w:val="center"/>
            </w:pPr>
            <w:r>
              <w:t xml:space="preserve">Minimalna częstotliwość </w:t>
            </w:r>
          </w:p>
          <w:p w:rsidR="00E85C84" w:rsidRDefault="00E85C84">
            <w:pPr>
              <w:ind w:right="-11"/>
              <w:jc w:val="center"/>
              <w:rPr>
                <w:b/>
              </w:rPr>
            </w:pPr>
            <w:r>
              <w:t>badań i  pomiarów</w:t>
            </w:r>
          </w:p>
        </w:tc>
      </w:tr>
      <w:tr w:rsidR="00E85C84">
        <w:tc>
          <w:tcPr>
            <w:tcW w:w="790" w:type="dxa"/>
            <w:tcBorders>
              <w:top w:val="nil"/>
            </w:tcBorders>
          </w:tcPr>
          <w:p w:rsidR="00E85C84" w:rsidRDefault="00E85C84">
            <w:pPr>
              <w:spacing w:before="60" w:after="60"/>
              <w:ind w:right="-14"/>
              <w:jc w:val="center"/>
              <w:rPr>
                <w:b/>
              </w:rPr>
            </w:pPr>
            <w:r>
              <w:t>1</w:t>
            </w:r>
          </w:p>
        </w:tc>
        <w:tc>
          <w:tcPr>
            <w:tcW w:w="3391" w:type="dxa"/>
            <w:tcBorders>
              <w:top w:val="nil"/>
            </w:tcBorders>
          </w:tcPr>
          <w:p w:rsidR="00E85C84" w:rsidRDefault="00E85C84">
            <w:pPr>
              <w:spacing w:before="60" w:after="60"/>
              <w:ind w:right="-14"/>
              <w:rPr>
                <w:b/>
              </w:rPr>
            </w:pPr>
            <w:r>
              <w:t xml:space="preserve">Szerokość </w:t>
            </w:r>
          </w:p>
        </w:tc>
        <w:tc>
          <w:tcPr>
            <w:tcW w:w="3402" w:type="dxa"/>
            <w:tcBorders>
              <w:top w:val="nil"/>
            </w:tcBorders>
          </w:tcPr>
          <w:p w:rsidR="00E85C84" w:rsidRDefault="00E85C84">
            <w:pPr>
              <w:spacing w:before="60" w:after="60"/>
              <w:ind w:right="-14"/>
              <w:rPr>
                <w:b/>
              </w:rPr>
            </w:pPr>
            <w:r>
              <w:t xml:space="preserve">10 razy na </w:t>
            </w:r>
            <w:smartTag w:uri="urn:schemas-microsoft-com:office:smarttags" w:element="metricconverter">
              <w:smartTagPr>
                <w:attr w:name="ProductID" w:val="1 km"/>
              </w:smartTagPr>
              <w:r>
                <w:t>1 km</w:t>
              </w:r>
            </w:smartTag>
          </w:p>
        </w:tc>
      </w:tr>
      <w:tr w:rsidR="00E85C84">
        <w:tc>
          <w:tcPr>
            <w:tcW w:w="790" w:type="dxa"/>
          </w:tcPr>
          <w:p w:rsidR="00E85C84" w:rsidRDefault="00E85C84">
            <w:pPr>
              <w:spacing w:before="120" w:after="60"/>
              <w:ind w:right="-11"/>
              <w:jc w:val="center"/>
              <w:rPr>
                <w:b/>
              </w:rPr>
            </w:pPr>
            <w:r>
              <w:t>2</w:t>
            </w:r>
          </w:p>
        </w:tc>
        <w:tc>
          <w:tcPr>
            <w:tcW w:w="3391" w:type="dxa"/>
          </w:tcPr>
          <w:p w:rsidR="00E85C84" w:rsidRDefault="00E85C84">
            <w:pPr>
              <w:spacing w:before="120" w:after="60"/>
              <w:ind w:right="-11"/>
              <w:rPr>
                <w:b/>
              </w:rPr>
            </w:pPr>
            <w:r>
              <w:t>Równość podłużna</w:t>
            </w:r>
          </w:p>
        </w:tc>
        <w:tc>
          <w:tcPr>
            <w:tcW w:w="3402" w:type="dxa"/>
          </w:tcPr>
          <w:p w:rsidR="00E85C84" w:rsidRDefault="00E85C84">
            <w:pPr>
              <w:ind w:right="-11"/>
              <w:rPr>
                <w:b/>
              </w:rPr>
            </w:pPr>
            <w:r>
              <w:t xml:space="preserve">w sposób ciągły </w:t>
            </w:r>
            <w:proofErr w:type="spellStart"/>
            <w:r>
              <w:t>planografem</w:t>
            </w:r>
            <w:proofErr w:type="spellEnd"/>
            <w:r>
              <w:t xml:space="preserve"> albo co        </w:t>
            </w:r>
            <w:smartTag w:uri="urn:schemas-microsoft-com:office:smarttags" w:element="metricconverter">
              <w:smartTagPr>
                <w:attr w:name="ProductID" w:val="20 m"/>
              </w:smartTagPr>
              <w:r>
                <w:t>20 m</w:t>
              </w:r>
            </w:smartTag>
            <w:r>
              <w:t xml:space="preserve"> łatą na każdym pasie ruchu</w:t>
            </w:r>
          </w:p>
        </w:tc>
      </w:tr>
      <w:tr w:rsidR="00E85C84">
        <w:tc>
          <w:tcPr>
            <w:tcW w:w="790" w:type="dxa"/>
          </w:tcPr>
          <w:p w:rsidR="00E85C84" w:rsidRDefault="00E85C84">
            <w:pPr>
              <w:spacing w:before="60" w:after="60"/>
              <w:ind w:right="-14"/>
              <w:jc w:val="center"/>
              <w:rPr>
                <w:b/>
              </w:rPr>
            </w:pPr>
            <w:r>
              <w:t>3</w:t>
            </w:r>
          </w:p>
        </w:tc>
        <w:tc>
          <w:tcPr>
            <w:tcW w:w="3391" w:type="dxa"/>
          </w:tcPr>
          <w:p w:rsidR="00E85C84" w:rsidRDefault="00E85C84">
            <w:pPr>
              <w:spacing w:before="60" w:after="60"/>
              <w:ind w:right="-14"/>
              <w:rPr>
                <w:b/>
              </w:rPr>
            </w:pPr>
            <w:r>
              <w:t>Równość poprzeczna</w:t>
            </w:r>
          </w:p>
        </w:tc>
        <w:tc>
          <w:tcPr>
            <w:tcW w:w="3402" w:type="dxa"/>
          </w:tcPr>
          <w:p w:rsidR="00E85C84" w:rsidRDefault="00E85C84">
            <w:pPr>
              <w:spacing w:before="60" w:after="60"/>
              <w:ind w:right="-14"/>
              <w:rPr>
                <w:b/>
              </w:rPr>
            </w:pPr>
            <w:r>
              <w:t xml:space="preserve">10 razy na </w:t>
            </w:r>
            <w:smartTag w:uri="urn:schemas-microsoft-com:office:smarttags" w:element="metricconverter">
              <w:smartTagPr>
                <w:attr w:name="ProductID" w:val="1 km"/>
              </w:smartTagPr>
              <w:r>
                <w:t>1 km</w:t>
              </w:r>
            </w:smartTag>
          </w:p>
        </w:tc>
      </w:tr>
      <w:tr w:rsidR="00E85C84">
        <w:tc>
          <w:tcPr>
            <w:tcW w:w="790" w:type="dxa"/>
          </w:tcPr>
          <w:p w:rsidR="00E85C84" w:rsidRDefault="00E85C84">
            <w:pPr>
              <w:spacing w:before="60" w:after="60"/>
              <w:ind w:right="-14"/>
              <w:jc w:val="center"/>
              <w:rPr>
                <w:b/>
              </w:rPr>
            </w:pPr>
            <w:r>
              <w:t>4</w:t>
            </w:r>
          </w:p>
        </w:tc>
        <w:tc>
          <w:tcPr>
            <w:tcW w:w="3391" w:type="dxa"/>
          </w:tcPr>
          <w:p w:rsidR="00E85C84" w:rsidRDefault="00E85C84">
            <w:pPr>
              <w:spacing w:before="60" w:after="60"/>
              <w:ind w:right="-14"/>
              <w:rPr>
                <w:b/>
              </w:rPr>
            </w:pPr>
            <w:r>
              <w:t>Spadki poprzeczne*</w:t>
            </w:r>
            <w:r>
              <w:rPr>
                <w:vertAlign w:val="superscript"/>
              </w:rPr>
              <w:t>)</w:t>
            </w:r>
          </w:p>
        </w:tc>
        <w:tc>
          <w:tcPr>
            <w:tcW w:w="3402" w:type="dxa"/>
            <w:tcBorders>
              <w:bottom w:val="nil"/>
            </w:tcBorders>
          </w:tcPr>
          <w:p w:rsidR="00E85C84" w:rsidRDefault="00E85C84">
            <w:pPr>
              <w:spacing w:before="60" w:after="60"/>
              <w:ind w:right="-14"/>
              <w:rPr>
                <w:b/>
              </w:rPr>
            </w:pPr>
            <w:r>
              <w:t xml:space="preserve">10 razy na </w:t>
            </w:r>
            <w:smartTag w:uri="urn:schemas-microsoft-com:office:smarttags" w:element="metricconverter">
              <w:smartTagPr>
                <w:attr w:name="ProductID" w:val="1 km"/>
              </w:smartTagPr>
              <w:r>
                <w:t>1 km</w:t>
              </w:r>
            </w:smartTag>
          </w:p>
        </w:tc>
      </w:tr>
      <w:tr w:rsidR="00E85C84">
        <w:tc>
          <w:tcPr>
            <w:tcW w:w="790" w:type="dxa"/>
          </w:tcPr>
          <w:p w:rsidR="00E85C84" w:rsidRDefault="00E85C84">
            <w:pPr>
              <w:spacing w:before="60" w:after="60"/>
              <w:ind w:right="-11"/>
              <w:jc w:val="center"/>
              <w:rPr>
                <w:b/>
              </w:rPr>
            </w:pPr>
            <w:r>
              <w:t>5</w:t>
            </w:r>
          </w:p>
        </w:tc>
        <w:tc>
          <w:tcPr>
            <w:tcW w:w="3391" w:type="dxa"/>
          </w:tcPr>
          <w:p w:rsidR="00E85C84" w:rsidRDefault="00E85C84">
            <w:pPr>
              <w:spacing w:before="60" w:after="60"/>
              <w:ind w:right="-11"/>
              <w:rPr>
                <w:b/>
              </w:rPr>
            </w:pPr>
            <w:r>
              <w:t>Rzędne wysokościowe</w:t>
            </w:r>
          </w:p>
        </w:tc>
        <w:tc>
          <w:tcPr>
            <w:tcW w:w="3402" w:type="dxa"/>
            <w:tcBorders>
              <w:bottom w:val="nil"/>
            </w:tcBorders>
          </w:tcPr>
          <w:p w:rsidR="00E85C84" w:rsidRDefault="00E85C84">
            <w:pPr>
              <w:spacing w:before="120"/>
              <w:ind w:right="-11"/>
            </w:pPr>
            <w:r>
              <w:t xml:space="preserve">co </w:t>
            </w:r>
            <w:smartTag w:uri="urn:schemas-microsoft-com:office:smarttags" w:element="metricconverter">
              <w:smartTagPr>
                <w:attr w:name="ProductID" w:val="100 m"/>
              </w:smartTagPr>
              <w:r>
                <w:t>100 m</w:t>
              </w:r>
            </w:smartTag>
          </w:p>
        </w:tc>
      </w:tr>
      <w:tr w:rsidR="00E85C84">
        <w:tc>
          <w:tcPr>
            <w:tcW w:w="790" w:type="dxa"/>
          </w:tcPr>
          <w:p w:rsidR="00E85C84" w:rsidRDefault="00E85C84">
            <w:pPr>
              <w:spacing w:before="60" w:after="60"/>
              <w:ind w:right="-14"/>
              <w:jc w:val="center"/>
              <w:rPr>
                <w:b/>
              </w:rPr>
            </w:pPr>
            <w:r>
              <w:t>6</w:t>
            </w:r>
          </w:p>
        </w:tc>
        <w:tc>
          <w:tcPr>
            <w:tcW w:w="3391" w:type="dxa"/>
          </w:tcPr>
          <w:p w:rsidR="00E85C84" w:rsidRDefault="00E85C84">
            <w:pPr>
              <w:spacing w:before="60" w:after="60"/>
              <w:ind w:right="-14"/>
              <w:rPr>
                <w:b/>
              </w:rPr>
            </w:pPr>
            <w:r>
              <w:t>Ukształtowanie osi w planie*</w:t>
            </w:r>
            <w:r>
              <w:rPr>
                <w:vertAlign w:val="superscript"/>
              </w:rPr>
              <w:t>)</w:t>
            </w:r>
          </w:p>
        </w:tc>
        <w:tc>
          <w:tcPr>
            <w:tcW w:w="3402" w:type="dxa"/>
            <w:tcBorders>
              <w:top w:val="nil"/>
            </w:tcBorders>
          </w:tcPr>
          <w:p w:rsidR="00E85C84" w:rsidRDefault="00E85C84">
            <w:pPr>
              <w:spacing w:after="60"/>
              <w:ind w:right="-11"/>
              <w:jc w:val="left"/>
              <w:rPr>
                <w:b/>
              </w:rPr>
            </w:pPr>
          </w:p>
        </w:tc>
      </w:tr>
      <w:tr w:rsidR="00E85C84">
        <w:tc>
          <w:tcPr>
            <w:tcW w:w="790" w:type="dxa"/>
          </w:tcPr>
          <w:p w:rsidR="00E85C84" w:rsidRDefault="00E85C84">
            <w:pPr>
              <w:spacing w:after="60"/>
              <w:ind w:right="-11"/>
              <w:jc w:val="center"/>
              <w:rPr>
                <w:b/>
              </w:rPr>
            </w:pPr>
            <w:r>
              <w:t>7</w:t>
            </w:r>
          </w:p>
        </w:tc>
        <w:tc>
          <w:tcPr>
            <w:tcW w:w="3391" w:type="dxa"/>
          </w:tcPr>
          <w:p w:rsidR="00E85C84" w:rsidRDefault="00E85C84">
            <w:pPr>
              <w:spacing w:after="60"/>
              <w:ind w:right="-11"/>
              <w:rPr>
                <w:b/>
              </w:rPr>
            </w:pPr>
            <w:r>
              <w:t>Grubość podbudowy i ulepszonego podłoża</w:t>
            </w:r>
          </w:p>
        </w:tc>
        <w:tc>
          <w:tcPr>
            <w:tcW w:w="3402" w:type="dxa"/>
          </w:tcPr>
          <w:p w:rsidR="00E85C84" w:rsidRDefault="00E85C84">
            <w:pPr>
              <w:ind w:right="-11"/>
              <w:rPr>
                <w:b/>
              </w:rPr>
            </w:pPr>
            <w:r>
              <w:t xml:space="preserve">w 3 punktach, lecz nie rzadziej niż raz na </w:t>
            </w:r>
            <w:smartTag w:uri="urn:schemas-microsoft-com:office:smarttags" w:element="metricconverter">
              <w:smartTagPr>
                <w:attr w:name="ProductID" w:val="2000 m2"/>
              </w:smartTagPr>
              <w:r>
                <w:t>2000 m</w:t>
              </w:r>
              <w:r>
                <w:rPr>
                  <w:vertAlign w:val="superscript"/>
                </w:rPr>
                <w:t>2</w:t>
              </w:r>
            </w:smartTag>
          </w:p>
        </w:tc>
      </w:tr>
    </w:tbl>
    <w:p w:rsidR="00E85C84" w:rsidRDefault="00E85C84">
      <w:pPr>
        <w:spacing w:before="120"/>
        <w:ind w:left="284" w:right="-11" w:hanging="284"/>
      </w:pPr>
      <w:r>
        <w:t>*) Dodatkowe pomiary spadków poprzecznych i ukształtowania osi w planie należy wykonać w punktach głównych łuków poziomych.</w:t>
      </w:r>
    </w:p>
    <w:p w:rsidR="00E85C84" w:rsidRDefault="00E85C84">
      <w:pPr>
        <w:keepNext/>
        <w:spacing w:before="120" w:after="120"/>
        <w:ind w:right="-11"/>
      </w:pPr>
      <w:r>
        <w:rPr>
          <w:b/>
        </w:rPr>
        <w:t xml:space="preserve">6.4.2. </w:t>
      </w:r>
      <w:r>
        <w:t>Szerokość podbudowy i ulepszonego podłoża</w:t>
      </w:r>
    </w:p>
    <w:p w:rsidR="00E85C84" w:rsidRDefault="00E85C84">
      <w:pPr>
        <w:ind w:right="-11"/>
      </w:pPr>
      <w:r>
        <w:tab/>
        <w:t>Szerokość podbudowy i ulepszonego podłoża nie może różnić się od szerokości projektowanej o więcej niż +</w:t>
      </w:r>
      <w:smartTag w:uri="urn:schemas-microsoft-com:office:smarttags" w:element="metricconverter">
        <w:smartTagPr>
          <w:attr w:name="ProductID" w:val="10 cm"/>
        </w:smartTagPr>
        <w:r>
          <w:t>10 cm</w:t>
        </w:r>
      </w:smartTag>
      <w:r>
        <w:t xml:space="preserve">, </w:t>
      </w:r>
      <w:smartTag w:uri="urn:schemas-microsoft-com:office:smarttags" w:element="metricconverter">
        <w:smartTagPr>
          <w:attr w:name="ProductID" w:val="-5 cm"/>
        </w:smartTagPr>
        <w:r>
          <w:t xml:space="preserve">-5 </w:t>
        </w:r>
        <w:proofErr w:type="spellStart"/>
        <w:r>
          <w:t>cm</w:t>
        </w:r>
      </w:smartTag>
      <w:proofErr w:type="spellEnd"/>
      <w:r>
        <w:t>.</w:t>
      </w:r>
    </w:p>
    <w:p w:rsidR="00E85C84" w:rsidRDefault="00E85C84">
      <w:pPr>
        <w:ind w:right="-11"/>
      </w:pPr>
      <w:r>
        <w:tab/>
        <w:t xml:space="preserve">Na jezdniach bez krawężników szerokość podbudowy powinna być większa od szerokości warstwy wyżej leżącej o co najmniej </w:t>
      </w:r>
      <w:smartTag w:uri="urn:schemas-microsoft-com:office:smarttags" w:element="metricconverter">
        <w:smartTagPr>
          <w:attr w:name="ProductID" w:val="25 cm"/>
        </w:smartTagPr>
        <w:r>
          <w:t>25 cm</w:t>
        </w:r>
      </w:smartTag>
      <w:r>
        <w:t xml:space="preserve"> lub o wartość wskazaną w dokumentacji projektowej.</w:t>
      </w:r>
    </w:p>
    <w:p w:rsidR="00E85C84" w:rsidRDefault="00E85C84">
      <w:pPr>
        <w:spacing w:before="120" w:after="120"/>
        <w:ind w:right="-11"/>
      </w:pPr>
      <w:r>
        <w:rPr>
          <w:b/>
        </w:rPr>
        <w:t xml:space="preserve">6.4.3. </w:t>
      </w:r>
      <w:r>
        <w:t>Równość podbudowy i ulepszonego podłoża</w:t>
      </w:r>
    </w:p>
    <w:p w:rsidR="00E85C84" w:rsidRDefault="00E85C84">
      <w:pPr>
        <w:ind w:right="-11"/>
      </w:pPr>
      <w:r>
        <w:tab/>
        <w:t xml:space="preserve">Nierówności podłużne podbudowy i ulepszonego podłoża należy mierzyć                  4-metrową łatą lub </w:t>
      </w:r>
      <w:proofErr w:type="spellStart"/>
      <w:r>
        <w:t>planografem</w:t>
      </w:r>
      <w:proofErr w:type="spellEnd"/>
      <w:r>
        <w:t xml:space="preserve">, zgodnie z normą BN-68/8931-04 [22]. </w:t>
      </w:r>
    </w:p>
    <w:p w:rsidR="00E85C84" w:rsidRDefault="00E85C84">
      <w:pPr>
        <w:ind w:right="-11"/>
      </w:pPr>
      <w:r>
        <w:lastRenderedPageBreak/>
        <w:tab/>
        <w:t xml:space="preserve">Nierówności poprzeczne podbudowy i ulepszonego podłoża należy mierzyć               4-metrową łatą. </w:t>
      </w:r>
    </w:p>
    <w:p w:rsidR="00E85C84" w:rsidRDefault="00E85C84">
      <w:pPr>
        <w:ind w:right="-11"/>
      </w:pPr>
      <w:r>
        <w:tab/>
        <w:t>Nierówności nie powinny  przekraczać:</w:t>
      </w:r>
    </w:p>
    <w:p w:rsidR="00E85C84" w:rsidRDefault="00E85C84">
      <w:pPr>
        <w:ind w:right="-11"/>
      </w:pPr>
      <w:r>
        <w:t xml:space="preserve">-  </w:t>
      </w:r>
      <w:smartTag w:uri="urn:schemas-microsoft-com:office:smarttags" w:element="metricconverter">
        <w:smartTagPr>
          <w:attr w:name="ProductID" w:val="12 mm"/>
        </w:smartTagPr>
        <w:r>
          <w:t>12 mm</w:t>
        </w:r>
      </w:smartTag>
      <w:r>
        <w:t xml:space="preserve"> dla podbudowy zasadniczej,</w:t>
      </w:r>
    </w:p>
    <w:p w:rsidR="00E85C84" w:rsidRDefault="00E85C84">
      <w:pPr>
        <w:ind w:right="-11"/>
      </w:pPr>
      <w:r>
        <w:t xml:space="preserve">-  </w:t>
      </w:r>
      <w:smartTag w:uri="urn:schemas-microsoft-com:office:smarttags" w:element="metricconverter">
        <w:smartTagPr>
          <w:attr w:name="ProductID" w:val="15 mm"/>
        </w:smartTagPr>
        <w:r>
          <w:t>15 mm</w:t>
        </w:r>
      </w:smartTag>
      <w:r>
        <w:t xml:space="preserve"> dla podbudowy pomocniczej i ulepszonego podłoża.</w:t>
      </w:r>
    </w:p>
    <w:p w:rsidR="00E85C84" w:rsidRDefault="00E85C84">
      <w:pPr>
        <w:spacing w:before="120" w:after="120"/>
        <w:ind w:right="-11"/>
      </w:pPr>
      <w:r>
        <w:rPr>
          <w:b/>
        </w:rPr>
        <w:t xml:space="preserve">6.4.4. </w:t>
      </w:r>
      <w:r>
        <w:t>Spadki poprzeczne podbudowy i ulepszonego podłoża</w:t>
      </w:r>
    </w:p>
    <w:p w:rsidR="00E85C84" w:rsidRDefault="00E85C84">
      <w:pPr>
        <w:ind w:right="-11"/>
      </w:pPr>
      <w:r>
        <w:tab/>
        <w:t xml:space="preserve">Spadki poprzeczne podbudowy i ulepszonego podłoża powinny być zgodne z dokumentacją projektową z tolerancją </w:t>
      </w:r>
      <w:r>
        <w:sym w:font="Symbol" w:char="F0B1"/>
      </w:r>
      <w:r>
        <w:t xml:space="preserve"> 0,5 %.</w:t>
      </w:r>
    </w:p>
    <w:p w:rsidR="00E85C84" w:rsidRDefault="00E85C84">
      <w:pPr>
        <w:spacing w:before="120" w:after="120"/>
        <w:ind w:right="-11"/>
      </w:pPr>
      <w:r>
        <w:rPr>
          <w:b/>
        </w:rPr>
        <w:t xml:space="preserve">6.4.5. </w:t>
      </w:r>
      <w:r>
        <w:t>Rzędne wysokościowe podbudowy i ulepszonego podłoża</w:t>
      </w:r>
    </w:p>
    <w:p w:rsidR="00E85C84" w:rsidRDefault="00E85C84">
      <w:pPr>
        <w:ind w:right="-11"/>
      </w:pPr>
      <w:r>
        <w:tab/>
        <w:t xml:space="preserve">Różnice pomiędzy rzędnymi wykonanej podbudowy i ulepszonego podłoża                 a rzędnymi projektowanymi nie powinny przekraczać + </w:t>
      </w:r>
      <w:smartTag w:uri="urn:schemas-microsoft-com:office:smarttags" w:element="metricconverter">
        <w:smartTagPr>
          <w:attr w:name="ProductID" w:val="1 cm"/>
        </w:smartTagPr>
        <w:r>
          <w:t>1 cm</w:t>
        </w:r>
      </w:smartTag>
      <w:r>
        <w:t xml:space="preserve">, </w:t>
      </w:r>
      <w:smartTag w:uri="urn:schemas-microsoft-com:office:smarttags" w:element="metricconverter">
        <w:smartTagPr>
          <w:attr w:name="ProductID" w:val="-2 cm"/>
        </w:smartTagPr>
        <w:r>
          <w:t xml:space="preserve">-2 </w:t>
        </w:r>
        <w:proofErr w:type="spellStart"/>
        <w:r>
          <w:t>cm</w:t>
        </w:r>
      </w:smartTag>
      <w:proofErr w:type="spellEnd"/>
      <w:r>
        <w:t>.</w:t>
      </w:r>
    </w:p>
    <w:p w:rsidR="00E85C84" w:rsidRDefault="00E85C84">
      <w:pPr>
        <w:spacing w:before="120" w:after="120"/>
        <w:ind w:right="-11"/>
      </w:pPr>
      <w:r>
        <w:rPr>
          <w:b/>
        </w:rPr>
        <w:t xml:space="preserve">6.4.6. </w:t>
      </w:r>
      <w:r>
        <w:t>Ukształtowanie osi podbudowy i ulepszonego podłoża</w:t>
      </w:r>
    </w:p>
    <w:p w:rsidR="00E85C84" w:rsidRDefault="00E85C84">
      <w:pPr>
        <w:ind w:right="-11"/>
      </w:pPr>
      <w:r>
        <w:tab/>
        <w:t xml:space="preserve">Oś podbudowy i ulepszonego podłoża w planie nie może być przesunięta w stosunku do osi projektowanej o więcej niż </w:t>
      </w:r>
      <w:r>
        <w:sym w:font="Symbol" w:char="F0B1"/>
      </w:r>
      <w:r>
        <w:t xml:space="preserve"> </w:t>
      </w:r>
      <w:smartTag w:uri="urn:schemas-microsoft-com:office:smarttags" w:element="metricconverter">
        <w:smartTagPr>
          <w:attr w:name="ProductID" w:val="5 cm"/>
        </w:smartTagPr>
        <w:r>
          <w:t xml:space="preserve">5 </w:t>
        </w:r>
        <w:proofErr w:type="spellStart"/>
        <w:r>
          <w:t>cm</w:t>
        </w:r>
      </w:smartTag>
      <w:proofErr w:type="spellEnd"/>
      <w:r>
        <w:t>.</w:t>
      </w:r>
    </w:p>
    <w:p w:rsidR="00E85C84" w:rsidRDefault="00E85C84">
      <w:pPr>
        <w:spacing w:before="120" w:after="120"/>
        <w:ind w:right="-11"/>
      </w:pPr>
      <w:r>
        <w:rPr>
          <w:b/>
        </w:rPr>
        <w:t xml:space="preserve">6.4.7. </w:t>
      </w:r>
      <w:r>
        <w:t>Grubość podbudowy i ulepszonego podłoża</w:t>
      </w:r>
    </w:p>
    <w:p w:rsidR="00E85C84" w:rsidRDefault="00E85C84">
      <w:pPr>
        <w:ind w:right="-11"/>
      </w:pPr>
      <w:r>
        <w:tab/>
        <w:t>Grubość podbudowy i ulepszonego podłoża nie może różnić się od grubości projektowanej o więcej niż:</w:t>
      </w:r>
    </w:p>
    <w:p w:rsidR="00E85C84" w:rsidRDefault="00E85C84">
      <w:pPr>
        <w:ind w:right="-11"/>
      </w:pPr>
      <w:r>
        <w:t xml:space="preserve">- dla podbudowy zasadniczej  </w:t>
      </w:r>
      <w:r>
        <w:sym w:font="Symbol" w:char="F0B1"/>
      </w:r>
      <w:r>
        <w:t xml:space="preserve"> 10%,</w:t>
      </w:r>
    </w:p>
    <w:p w:rsidR="00E85C84" w:rsidRDefault="00E85C84">
      <w:pPr>
        <w:pStyle w:val="tekstost"/>
      </w:pPr>
      <w:r>
        <w:t>- dla podbudowy pomocniczej i ulepszonego podłoża  +10%, -15%.</w:t>
      </w:r>
    </w:p>
    <w:p w:rsidR="00E85C84" w:rsidRDefault="00E85C84">
      <w:pPr>
        <w:pStyle w:val="Nagwek2"/>
        <w:spacing w:after="0"/>
      </w:pPr>
      <w:r>
        <w:t xml:space="preserve">6.5. Zasady postępowania z wadliwie wykonanymi odcinkami podbudowy </w:t>
      </w:r>
    </w:p>
    <w:p w:rsidR="00E85C84" w:rsidRDefault="00E85C84">
      <w:pPr>
        <w:spacing w:after="120"/>
        <w:rPr>
          <w:b/>
        </w:rPr>
      </w:pPr>
      <w:r>
        <w:t xml:space="preserve">        </w:t>
      </w:r>
      <w:r>
        <w:rPr>
          <w:b/>
        </w:rPr>
        <w:t>i ulepszonego podłoża</w:t>
      </w:r>
    </w:p>
    <w:p w:rsidR="00E85C84" w:rsidRDefault="00E85C84">
      <w:pPr>
        <w:spacing w:after="120"/>
      </w:pPr>
      <w:r>
        <w:rPr>
          <w:b/>
        </w:rPr>
        <w:t xml:space="preserve">6.5.1. </w:t>
      </w:r>
      <w:r>
        <w:t>Niewłaściwe cechy geometryczne podbudowy i ulepszonego podłoża</w:t>
      </w:r>
    </w:p>
    <w:p w:rsidR="00E85C84" w:rsidRDefault="00E85C84">
      <w:r>
        <w:tab/>
        <w:t>Jeżeli po wykonaniu badań na stwardniałej podbudowie lub ulepszonym podłożu stwierdzi się, że odchylenia cech geometrycznych przekraczają wielkości określone w              p. 6.4, to warstwa zostanie zerwana na całą grubość i ponownie wykonana na koszt Wykonawcy. Dopuszcza się inny rodzaj naprawy wykonany na koszt Wykonawcy, o ile zostanie on zaakceptowany przez Inżyniera.</w:t>
      </w:r>
    </w:p>
    <w:p w:rsidR="00E85C84" w:rsidRDefault="00E85C84">
      <w:r>
        <w:tab/>
        <w:t xml:space="preserve">Jeżeli szerokość podbudowy lub ulepszonego podłoża jest mniejsza od szerokości projektowanej o więcej niż </w:t>
      </w:r>
      <w:smartTag w:uri="urn:schemas-microsoft-com:office:smarttags" w:element="metricconverter">
        <w:smartTagPr>
          <w:attr w:name="ProductID" w:val="5 cm"/>
        </w:smartTagPr>
        <w:r>
          <w:t>5 cm</w:t>
        </w:r>
      </w:smartTag>
      <w:r>
        <w:t xml:space="preserve"> i nie zapewnia podparcia warstwom wyżej leżącym, to Wykonawca powinien poszerzyć podbudowę lub ulepszone podłoże przez zerwanie warstwy na pełną grubość do połowy szerokości pasa ruchu i wbudowanie nowej mieszanki.</w:t>
      </w:r>
    </w:p>
    <w:p w:rsidR="00E85C84" w:rsidRDefault="00E85C84">
      <w:r>
        <w:tab/>
        <w:t>Nie dopuszcza się mieszania składników mieszanki na miejscu. Roboty te Wykonawca wykona na własny koszt.</w:t>
      </w:r>
    </w:p>
    <w:p w:rsidR="00E85C84" w:rsidRDefault="00E85C84">
      <w:pPr>
        <w:spacing w:before="120"/>
      </w:pPr>
      <w:r>
        <w:rPr>
          <w:b/>
        </w:rPr>
        <w:t xml:space="preserve">6.5.2. </w:t>
      </w:r>
      <w:r>
        <w:t>Niewłaściwa grubość podbudowy i ulepszonego podłoża</w:t>
      </w:r>
    </w:p>
    <w:p w:rsidR="00E85C84" w:rsidRDefault="00E85C84">
      <w:pPr>
        <w:spacing w:before="120"/>
      </w:pPr>
      <w:r>
        <w:tab/>
        <w:t>Na wszystkich powierzchniach wadliwych pod względem grubości Wykonawca wykona naprawę podbudowy lub ulepszonego podłoża przez zerwanie wykonanej warstwy, usunięcie zerwanego materiału i ponowne wykonanie warstwy o odpowiednich właściwościach i o wymaganej grubości. Roboty te Wykonawca wykona na własny koszt. Po wykonaniu tych robót nastąpi ponowny pomiar i ocena grubości warstwy, na koszt Wykonawcy.</w:t>
      </w:r>
    </w:p>
    <w:p w:rsidR="00E85C84" w:rsidRDefault="00E85C84">
      <w:pPr>
        <w:spacing w:before="120"/>
      </w:pPr>
      <w:r>
        <w:rPr>
          <w:b/>
        </w:rPr>
        <w:t xml:space="preserve">6.5.3. </w:t>
      </w:r>
      <w:r>
        <w:t>Niewłaściwa wytrzymałość podbudowy i ulepszonego podłoża</w:t>
      </w:r>
    </w:p>
    <w:p w:rsidR="00E85C84" w:rsidRDefault="00E85C84">
      <w:pPr>
        <w:spacing w:before="120"/>
      </w:pPr>
      <w:r>
        <w:tab/>
        <w:t>Jeżeli wytrzymałość średnia próbek będzie mniejsza od dolnej granicy określonej w OST dla poszczególnych rodzajów podbudów i ulepszonego podłoża, to warstwa wadliwie wykonana zostanie zerwana i wymieniona na nową o odpowiednich właściwościach na koszt Wykonawcy.</w:t>
      </w:r>
    </w:p>
    <w:p w:rsidR="00E85C84" w:rsidRDefault="00E85C84">
      <w:pPr>
        <w:pStyle w:val="Nagwek1"/>
      </w:pPr>
      <w:bookmarkStart w:id="92" w:name="_Toc418394443"/>
      <w:bookmarkStart w:id="93" w:name="_Toc423845944"/>
      <w:r>
        <w:lastRenderedPageBreak/>
        <w:t>7. OBMIAR ROBÓT</w:t>
      </w:r>
      <w:bookmarkEnd w:id="92"/>
      <w:bookmarkEnd w:id="93"/>
    </w:p>
    <w:p w:rsidR="00E85C84" w:rsidRDefault="00E85C84">
      <w:pPr>
        <w:pStyle w:val="Nagwek2"/>
      </w:pPr>
      <w:r>
        <w:t>7.1. Ogólne zasady obmiaru robót</w:t>
      </w:r>
    </w:p>
    <w:p w:rsidR="00E85C84" w:rsidRDefault="00E85C84">
      <w:pPr>
        <w:ind w:right="-11"/>
      </w:pPr>
      <w:r>
        <w:tab/>
        <w:t xml:space="preserve">Ogólne zasady obmiaru robót podano w SST D-M-00.00.00 „Wymagania ogólne” </w:t>
      </w:r>
      <w:proofErr w:type="spellStart"/>
      <w:r>
        <w:t>pkt</w:t>
      </w:r>
      <w:proofErr w:type="spellEnd"/>
      <w:r>
        <w:t xml:space="preserve"> 7.</w:t>
      </w:r>
    </w:p>
    <w:p w:rsidR="00E85C84" w:rsidRDefault="00E85C84">
      <w:pPr>
        <w:pStyle w:val="Nagwek2"/>
      </w:pPr>
      <w:r>
        <w:t>7.2. Jednostka obmiarowa</w:t>
      </w:r>
    </w:p>
    <w:p w:rsidR="00E85C84" w:rsidRDefault="00E85C84">
      <w:pPr>
        <w:ind w:right="-11"/>
      </w:pPr>
      <w:r>
        <w:tab/>
        <w:t>Jednostką obmiarową jest  m</w:t>
      </w:r>
      <w:r>
        <w:rPr>
          <w:vertAlign w:val="superscript"/>
        </w:rPr>
        <w:t>2</w:t>
      </w:r>
      <w:r>
        <w:t xml:space="preserve"> (metr kwadratowy) podbudowy  i ulepszonego podłoża z gruntów lub kruszyw stabilizowanych spoiwami hydraulicznymi.</w:t>
      </w:r>
    </w:p>
    <w:p w:rsidR="00E85C84" w:rsidRDefault="00E85C84">
      <w:pPr>
        <w:pStyle w:val="Nagwek1"/>
      </w:pPr>
      <w:bookmarkStart w:id="94" w:name="_Toc418394444"/>
      <w:bookmarkStart w:id="95" w:name="_Toc423845945"/>
      <w:r>
        <w:t>8. ODBIÓR ROBÓT</w:t>
      </w:r>
      <w:bookmarkEnd w:id="94"/>
      <w:bookmarkEnd w:id="95"/>
    </w:p>
    <w:p w:rsidR="00E85C84" w:rsidRDefault="00E85C84">
      <w:pPr>
        <w:ind w:right="-11"/>
      </w:pPr>
      <w:r>
        <w:tab/>
        <w:t xml:space="preserve">Ogólne zasady odbioru robót podano w SST D-M-00.00.00 „Wymagania ogólne” </w:t>
      </w:r>
      <w:proofErr w:type="spellStart"/>
      <w:r>
        <w:t>pkt</w:t>
      </w:r>
      <w:proofErr w:type="spellEnd"/>
      <w:r>
        <w:t xml:space="preserve"> 8.</w:t>
      </w:r>
    </w:p>
    <w:p w:rsidR="00E85C84" w:rsidRDefault="00E85C84">
      <w:pPr>
        <w:ind w:right="-11"/>
      </w:pPr>
      <w:r>
        <w:tab/>
        <w:t xml:space="preserve">Roboty uznaje się za zgodne z dokumentacją projektową, SST i wymaganiami Inżyniera, jeżeli wszystkie pomiary i badania z zachowaniem tolerancji wg </w:t>
      </w:r>
      <w:proofErr w:type="spellStart"/>
      <w:r>
        <w:t>pkt</w:t>
      </w:r>
      <w:proofErr w:type="spellEnd"/>
      <w:r>
        <w:t xml:space="preserve"> 6 dały wyniki pozytywne.</w:t>
      </w:r>
    </w:p>
    <w:p w:rsidR="00E85C84" w:rsidRDefault="00E85C84">
      <w:pPr>
        <w:pStyle w:val="Nagwek1"/>
      </w:pPr>
      <w:bookmarkStart w:id="96" w:name="_Toc418394445"/>
      <w:bookmarkStart w:id="97" w:name="_Toc423845946"/>
      <w:r>
        <w:t>9. PODSTAWA PŁATNOŚCI</w:t>
      </w:r>
      <w:bookmarkEnd w:id="96"/>
      <w:bookmarkEnd w:id="97"/>
    </w:p>
    <w:p w:rsidR="00E85C84" w:rsidRDefault="00E85C84">
      <w:pPr>
        <w:pStyle w:val="Nagwek2"/>
      </w:pPr>
      <w:r>
        <w:t>9.1. Ogólne ustalenia dotyczące podstawy płatności</w:t>
      </w:r>
    </w:p>
    <w:p w:rsidR="00E85C84" w:rsidRDefault="00E85C84">
      <w:pPr>
        <w:ind w:right="-11"/>
      </w:pPr>
      <w:r>
        <w:rPr>
          <w:b/>
        </w:rPr>
        <w:tab/>
      </w:r>
      <w:r>
        <w:t xml:space="preserve">Ogólne ustalenia dotyczące podstawy płatności podano w SST D-M-00.00.00 „Wymagania ogólne” </w:t>
      </w:r>
      <w:proofErr w:type="spellStart"/>
      <w:r>
        <w:t>pkt</w:t>
      </w:r>
      <w:proofErr w:type="spellEnd"/>
      <w:r>
        <w:t xml:space="preserve"> 9.</w:t>
      </w:r>
    </w:p>
    <w:p w:rsidR="00E85C84" w:rsidRDefault="00E85C84">
      <w:pPr>
        <w:pStyle w:val="Nagwek2"/>
      </w:pPr>
      <w:r>
        <w:t>9.2. Cena jednostki obmiarowej</w:t>
      </w:r>
    </w:p>
    <w:p w:rsidR="00E85C84" w:rsidRDefault="00E85C84">
      <w:pPr>
        <w:ind w:right="-11"/>
      </w:pPr>
      <w:r>
        <w:tab/>
        <w:t xml:space="preserve">Cena wykonania </w:t>
      </w:r>
      <w:smartTag w:uri="urn:schemas-microsoft-com:office:smarttags" w:element="metricconverter">
        <w:smartTagPr>
          <w:attr w:name="ProductID" w:val="1 m2"/>
        </w:smartTagPr>
        <w:r>
          <w:t>1 m</w:t>
        </w:r>
        <w:r>
          <w:rPr>
            <w:vertAlign w:val="superscript"/>
          </w:rPr>
          <w:t>2</w:t>
        </w:r>
      </w:smartTag>
      <w:r>
        <w:t xml:space="preserve"> podbudowy i ulepszonego podłoża z gruntów lub kruszyw stabilizowanych spoiwami hydraulicznymi obejmuje:</w:t>
      </w:r>
    </w:p>
    <w:p w:rsidR="00E85C84" w:rsidRDefault="00E85C84" w:rsidP="00DC16EB">
      <w:pPr>
        <w:numPr>
          <w:ilvl w:val="0"/>
          <w:numId w:val="5"/>
        </w:numPr>
        <w:ind w:right="-11"/>
      </w:pPr>
      <w:r>
        <w:t>w przypadku wytwarzania mieszanek kruszywowo-spoiwowych w mieszarkach:</w:t>
      </w:r>
    </w:p>
    <w:p w:rsidR="00E85C84" w:rsidRDefault="00E85C84" w:rsidP="00DC16EB">
      <w:pPr>
        <w:numPr>
          <w:ilvl w:val="0"/>
          <w:numId w:val="1"/>
        </w:numPr>
        <w:ind w:right="-11"/>
      </w:pPr>
      <w:r>
        <w:t>prace pomiarowe i roboty przygotowawcze,</w:t>
      </w:r>
    </w:p>
    <w:p w:rsidR="00E85C84" w:rsidRDefault="00E85C84" w:rsidP="00DC16EB">
      <w:pPr>
        <w:numPr>
          <w:ilvl w:val="0"/>
          <w:numId w:val="1"/>
        </w:numPr>
        <w:ind w:right="-11"/>
      </w:pPr>
      <w:r>
        <w:t>oznakowanie robót,</w:t>
      </w:r>
    </w:p>
    <w:p w:rsidR="00E85C84" w:rsidRDefault="00E85C84" w:rsidP="00DC16EB">
      <w:pPr>
        <w:numPr>
          <w:ilvl w:val="0"/>
          <w:numId w:val="1"/>
        </w:numPr>
        <w:ind w:right="-11"/>
      </w:pPr>
      <w:r>
        <w:t>dostarczenie materiałów, wyprodukowanie mieszanki i jej transport na miejsce wbudowania,</w:t>
      </w:r>
    </w:p>
    <w:p w:rsidR="00E85C84" w:rsidRDefault="00E85C84" w:rsidP="00DC16EB">
      <w:pPr>
        <w:numPr>
          <w:ilvl w:val="0"/>
          <w:numId w:val="1"/>
        </w:numPr>
        <w:ind w:right="-11"/>
      </w:pPr>
      <w:r>
        <w:t>dostarczenie, ustawienie, rozebranie i odwiezienie prowadnic oraz innych materiałów i urządzeń pomocniczych,</w:t>
      </w:r>
    </w:p>
    <w:p w:rsidR="00E85C84" w:rsidRDefault="00E85C84" w:rsidP="00DC16EB">
      <w:pPr>
        <w:numPr>
          <w:ilvl w:val="0"/>
          <w:numId w:val="1"/>
        </w:numPr>
        <w:ind w:right="-11"/>
      </w:pPr>
      <w:r>
        <w:t>rozłożenie i zagęszczenie mieszanki,</w:t>
      </w:r>
    </w:p>
    <w:p w:rsidR="00E85C84" w:rsidRDefault="00E85C84" w:rsidP="00DC16EB">
      <w:pPr>
        <w:numPr>
          <w:ilvl w:val="0"/>
          <w:numId w:val="1"/>
        </w:numPr>
        <w:ind w:right="-11"/>
      </w:pPr>
      <w:r>
        <w:t>pielęgnacja wykonanej warstwy</w:t>
      </w:r>
    </w:p>
    <w:p w:rsidR="00E85C84" w:rsidRDefault="00E85C84" w:rsidP="00DC16EB">
      <w:pPr>
        <w:numPr>
          <w:ilvl w:val="0"/>
          <w:numId w:val="1"/>
        </w:numPr>
      </w:pPr>
      <w:r>
        <w:t>przeprowadzenie pomiarów i badań laboratoryjnych, wymaganych w specyfikacji technicznej,</w:t>
      </w:r>
    </w:p>
    <w:p w:rsidR="00E85C84" w:rsidRDefault="00E85C84" w:rsidP="00DC16EB">
      <w:pPr>
        <w:numPr>
          <w:ilvl w:val="0"/>
          <w:numId w:val="5"/>
        </w:numPr>
        <w:ind w:right="-11"/>
      </w:pPr>
      <w:r>
        <w:t>w przypadku wytwarzania mieszanek gruntowo-spoiwowych na miejscu:</w:t>
      </w:r>
    </w:p>
    <w:p w:rsidR="00E85C84" w:rsidRDefault="00E85C84" w:rsidP="00DC16EB">
      <w:pPr>
        <w:numPr>
          <w:ilvl w:val="0"/>
          <w:numId w:val="1"/>
        </w:numPr>
        <w:ind w:right="-11"/>
      </w:pPr>
      <w:r>
        <w:t>prace pomiarowe i roboty przygotowawcze,</w:t>
      </w:r>
    </w:p>
    <w:p w:rsidR="00E85C84" w:rsidRDefault="00E85C84" w:rsidP="00DC16EB">
      <w:pPr>
        <w:numPr>
          <w:ilvl w:val="0"/>
          <w:numId w:val="1"/>
        </w:numPr>
        <w:ind w:right="-11"/>
      </w:pPr>
      <w:r>
        <w:t>oznakowanie robót,</w:t>
      </w:r>
    </w:p>
    <w:p w:rsidR="00E85C84" w:rsidRDefault="00E85C84" w:rsidP="00DC16EB">
      <w:pPr>
        <w:numPr>
          <w:ilvl w:val="0"/>
          <w:numId w:val="1"/>
        </w:numPr>
        <w:ind w:right="-11"/>
      </w:pPr>
      <w:r>
        <w:t>spulchnienie gruntu,</w:t>
      </w:r>
    </w:p>
    <w:p w:rsidR="00E85C84" w:rsidRDefault="00E85C84" w:rsidP="00DC16EB">
      <w:pPr>
        <w:numPr>
          <w:ilvl w:val="0"/>
          <w:numId w:val="1"/>
        </w:numPr>
        <w:ind w:right="-11"/>
      </w:pPr>
      <w:r>
        <w:t>dostarczenie, ustawienie, rozebranie i odwiezienie prowadnic oraz innych materiałów i urządzeń pomocniczych,</w:t>
      </w:r>
    </w:p>
    <w:p w:rsidR="00E85C84" w:rsidRDefault="00E85C84" w:rsidP="00DC16EB">
      <w:pPr>
        <w:numPr>
          <w:ilvl w:val="0"/>
          <w:numId w:val="1"/>
        </w:numPr>
        <w:ind w:right="-11"/>
      </w:pPr>
      <w:r>
        <w:t>dostarczenie i rozścielenie składników zgodnie z receptą laboratoryjną,</w:t>
      </w:r>
    </w:p>
    <w:p w:rsidR="00E85C84" w:rsidRDefault="00E85C84" w:rsidP="00DC16EB">
      <w:pPr>
        <w:numPr>
          <w:ilvl w:val="0"/>
          <w:numId w:val="1"/>
        </w:numPr>
        <w:ind w:right="-11"/>
      </w:pPr>
      <w:r>
        <w:t>wymieszanie gruntu rodzimego lub ulepszonego kruszywem ze spoiwem w korycie drogi,</w:t>
      </w:r>
    </w:p>
    <w:p w:rsidR="00E85C84" w:rsidRDefault="00E85C84" w:rsidP="00DC16EB">
      <w:pPr>
        <w:numPr>
          <w:ilvl w:val="0"/>
          <w:numId w:val="1"/>
        </w:numPr>
        <w:ind w:right="-11"/>
      </w:pPr>
      <w:r>
        <w:t>zagęszczenie warstwy,</w:t>
      </w:r>
    </w:p>
    <w:p w:rsidR="00E85C84" w:rsidRDefault="00E85C84" w:rsidP="00DC16EB">
      <w:pPr>
        <w:numPr>
          <w:ilvl w:val="0"/>
          <w:numId w:val="1"/>
        </w:numPr>
        <w:ind w:right="-11"/>
      </w:pPr>
      <w:r>
        <w:t>pielęgnacja wykonanej warstwy</w:t>
      </w:r>
    </w:p>
    <w:p w:rsidR="00E85C84" w:rsidRDefault="00E85C84" w:rsidP="00DC16EB">
      <w:pPr>
        <w:numPr>
          <w:ilvl w:val="0"/>
          <w:numId w:val="1"/>
        </w:numPr>
      </w:pPr>
      <w:r>
        <w:t>przeprowadzenie pomiarów i badań laboratoryjnych, wymaganych w specyfikacji technicznej,</w:t>
      </w:r>
    </w:p>
    <w:p w:rsidR="00E85C84" w:rsidRDefault="00E85C84">
      <w:pPr>
        <w:pStyle w:val="Nagwek1"/>
      </w:pPr>
      <w:bookmarkStart w:id="98" w:name="_Toc423845947"/>
      <w:r>
        <w:t>10. przepisy związane</w:t>
      </w:r>
      <w:bookmarkEnd w:id="98"/>
    </w:p>
    <w:p w:rsidR="00E85C84" w:rsidRDefault="00E85C84">
      <w:pPr>
        <w:pStyle w:val="Nagwek2"/>
      </w:pPr>
      <w:r>
        <w:t>10.1. Normy</w:t>
      </w:r>
    </w:p>
    <w:tbl>
      <w:tblPr>
        <w:tblW w:w="0" w:type="auto"/>
        <w:tblLayout w:type="fixed"/>
        <w:tblCellMar>
          <w:left w:w="70" w:type="dxa"/>
          <w:right w:w="70" w:type="dxa"/>
        </w:tblCellMar>
        <w:tblLook w:val="0000"/>
      </w:tblPr>
      <w:tblGrid>
        <w:gridCol w:w="637"/>
        <w:gridCol w:w="1843"/>
        <w:gridCol w:w="5029"/>
      </w:tblGrid>
      <w:tr w:rsidR="00E85C84">
        <w:tc>
          <w:tcPr>
            <w:tcW w:w="637" w:type="dxa"/>
          </w:tcPr>
          <w:p w:rsidR="00E85C84" w:rsidRDefault="00E85C84">
            <w:pPr>
              <w:jc w:val="center"/>
            </w:pPr>
            <w:r>
              <w:t xml:space="preserve">  1.</w:t>
            </w:r>
          </w:p>
        </w:tc>
        <w:tc>
          <w:tcPr>
            <w:tcW w:w="1843" w:type="dxa"/>
          </w:tcPr>
          <w:p w:rsidR="00E85C84" w:rsidRDefault="00E85C84">
            <w:pPr>
              <w:rPr>
                <w:lang w:val="en-US"/>
              </w:rPr>
            </w:pPr>
            <w:r>
              <w:rPr>
                <w:lang w:val="en-US"/>
              </w:rPr>
              <w:t>PN-B-04300</w:t>
            </w:r>
          </w:p>
        </w:tc>
        <w:tc>
          <w:tcPr>
            <w:tcW w:w="5029" w:type="dxa"/>
          </w:tcPr>
          <w:p w:rsidR="00E85C84" w:rsidRDefault="00E85C84">
            <w:r w:rsidRPr="00DC16EB">
              <w:t xml:space="preserve">Cement. </w:t>
            </w:r>
            <w:r>
              <w:t>Metody badań. Oznaczanie cech fizycznych</w:t>
            </w:r>
          </w:p>
        </w:tc>
      </w:tr>
      <w:tr w:rsidR="00E85C84">
        <w:tc>
          <w:tcPr>
            <w:tcW w:w="637" w:type="dxa"/>
          </w:tcPr>
          <w:p w:rsidR="00E85C84" w:rsidRDefault="00E85C84">
            <w:pPr>
              <w:jc w:val="center"/>
            </w:pPr>
            <w:r>
              <w:t xml:space="preserve">  2.</w:t>
            </w:r>
          </w:p>
        </w:tc>
        <w:tc>
          <w:tcPr>
            <w:tcW w:w="1843" w:type="dxa"/>
          </w:tcPr>
          <w:p w:rsidR="00E85C84" w:rsidRDefault="00E85C84">
            <w:r>
              <w:t>PN-B-04481</w:t>
            </w:r>
          </w:p>
        </w:tc>
        <w:tc>
          <w:tcPr>
            <w:tcW w:w="5029" w:type="dxa"/>
          </w:tcPr>
          <w:p w:rsidR="00E85C84" w:rsidRDefault="00E85C84">
            <w:r>
              <w:t>Grunty budowlane. Badania próbek gruntu</w:t>
            </w:r>
          </w:p>
        </w:tc>
      </w:tr>
      <w:tr w:rsidR="00E85C84">
        <w:tc>
          <w:tcPr>
            <w:tcW w:w="637" w:type="dxa"/>
          </w:tcPr>
          <w:p w:rsidR="00E85C84" w:rsidRDefault="00E85C84">
            <w:pPr>
              <w:jc w:val="center"/>
            </w:pPr>
            <w:r>
              <w:t xml:space="preserve">  3.</w:t>
            </w:r>
          </w:p>
        </w:tc>
        <w:tc>
          <w:tcPr>
            <w:tcW w:w="1843" w:type="dxa"/>
          </w:tcPr>
          <w:p w:rsidR="00E85C84" w:rsidRDefault="00E85C84">
            <w:r>
              <w:t>PN-B-06714-12</w:t>
            </w:r>
          </w:p>
        </w:tc>
        <w:tc>
          <w:tcPr>
            <w:tcW w:w="5029" w:type="dxa"/>
          </w:tcPr>
          <w:p w:rsidR="00E85C84" w:rsidRDefault="00E85C84">
            <w:r>
              <w:t>Kruszywa mineralne. Badania. Oznaczanie zawartości zanieczyszczeń obcych</w:t>
            </w:r>
          </w:p>
        </w:tc>
      </w:tr>
    </w:tbl>
    <w:p w:rsidR="00E85C84" w:rsidRDefault="00E85C84"/>
    <w:tbl>
      <w:tblPr>
        <w:tblW w:w="0" w:type="auto"/>
        <w:tblLayout w:type="fixed"/>
        <w:tblCellMar>
          <w:left w:w="70" w:type="dxa"/>
          <w:right w:w="70" w:type="dxa"/>
        </w:tblCellMar>
        <w:tblLook w:val="0000"/>
      </w:tblPr>
      <w:tblGrid>
        <w:gridCol w:w="637"/>
        <w:gridCol w:w="1843"/>
        <w:gridCol w:w="5029"/>
      </w:tblGrid>
      <w:tr w:rsidR="00E85C84">
        <w:tc>
          <w:tcPr>
            <w:tcW w:w="637" w:type="dxa"/>
          </w:tcPr>
          <w:p w:rsidR="00E85C84" w:rsidRDefault="00E85C84">
            <w:pPr>
              <w:jc w:val="center"/>
            </w:pPr>
            <w:r>
              <w:lastRenderedPageBreak/>
              <w:t xml:space="preserve">  4.</w:t>
            </w:r>
          </w:p>
        </w:tc>
        <w:tc>
          <w:tcPr>
            <w:tcW w:w="1843" w:type="dxa"/>
          </w:tcPr>
          <w:p w:rsidR="00E85C84" w:rsidRDefault="00E85C84">
            <w:r>
              <w:t>PN-B-06714-15</w:t>
            </w:r>
          </w:p>
        </w:tc>
        <w:tc>
          <w:tcPr>
            <w:tcW w:w="5029" w:type="dxa"/>
          </w:tcPr>
          <w:p w:rsidR="00E85C84" w:rsidRDefault="00E85C84">
            <w:r>
              <w:t>Kruszywa mineralne. Badania. Oznaczanie składu ziarnowego</w:t>
            </w:r>
          </w:p>
        </w:tc>
      </w:tr>
      <w:tr w:rsidR="00E85C84">
        <w:tc>
          <w:tcPr>
            <w:tcW w:w="637" w:type="dxa"/>
          </w:tcPr>
          <w:p w:rsidR="00E85C84" w:rsidRDefault="00E85C84">
            <w:pPr>
              <w:jc w:val="center"/>
            </w:pPr>
            <w:r>
              <w:t xml:space="preserve">  5.</w:t>
            </w:r>
          </w:p>
        </w:tc>
        <w:tc>
          <w:tcPr>
            <w:tcW w:w="1843" w:type="dxa"/>
          </w:tcPr>
          <w:p w:rsidR="00E85C84" w:rsidRDefault="00E85C84">
            <w:r>
              <w:t>PN-B-06714-26</w:t>
            </w:r>
          </w:p>
        </w:tc>
        <w:tc>
          <w:tcPr>
            <w:tcW w:w="5029" w:type="dxa"/>
          </w:tcPr>
          <w:p w:rsidR="00E85C84" w:rsidRDefault="00E85C84">
            <w:r>
              <w:t>Kruszywa mineralne. Badania. Oznaczanie zawartości zanieczyszczeń organicznych</w:t>
            </w:r>
          </w:p>
        </w:tc>
      </w:tr>
      <w:tr w:rsidR="00E85C84">
        <w:tc>
          <w:tcPr>
            <w:tcW w:w="637" w:type="dxa"/>
          </w:tcPr>
          <w:p w:rsidR="00E85C84" w:rsidRDefault="00E85C84">
            <w:pPr>
              <w:jc w:val="center"/>
            </w:pPr>
            <w:r>
              <w:t xml:space="preserve">  6.</w:t>
            </w:r>
          </w:p>
        </w:tc>
        <w:tc>
          <w:tcPr>
            <w:tcW w:w="1843" w:type="dxa"/>
          </w:tcPr>
          <w:p w:rsidR="00E85C84" w:rsidRDefault="00E85C84">
            <w:r>
              <w:t>PN-B-06714-28</w:t>
            </w:r>
          </w:p>
        </w:tc>
        <w:tc>
          <w:tcPr>
            <w:tcW w:w="5029" w:type="dxa"/>
          </w:tcPr>
          <w:p w:rsidR="00E85C84" w:rsidRDefault="00E85C84">
            <w:r>
              <w:t>Kruszywa mineralne. Badania. Oznaczanie zawartości siarki metodą bromową</w:t>
            </w:r>
          </w:p>
        </w:tc>
      </w:tr>
      <w:tr w:rsidR="00E85C84">
        <w:tc>
          <w:tcPr>
            <w:tcW w:w="637" w:type="dxa"/>
          </w:tcPr>
          <w:p w:rsidR="00E85C84" w:rsidRDefault="00E85C84">
            <w:pPr>
              <w:jc w:val="center"/>
            </w:pPr>
            <w:r>
              <w:t xml:space="preserve">  7.</w:t>
            </w:r>
          </w:p>
        </w:tc>
        <w:tc>
          <w:tcPr>
            <w:tcW w:w="1843" w:type="dxa"/>
          </w:tcPr>
          <w:p w:rsidR="00E85C84" w:rsidRDefault="00E85C84">
            <w:r>
              <w:t>PN-B-06714-37</w:t>
            </w:r>
          </w:p>
        </w:tc>
        <w:tc>
          <w:tcPr>
            <w:tcW w:w="5029" w:type="dxa"/>
          </w:tcPr>
          <w:p w:rsidR="00E85C84" w:rsidRDefault="00E85C84">
            <w:r>
              <w:t>Kruszywa mineralne. Badania. Oznaczanie rozpadu krzemianowego</w:t>
            </w:r>
          </w:p>
        </w:tc>
      </w:tr>
      <w:tr w:rsidR="00E85C84">
        <w:tc>
          <w:tcPr>
            <w:tcW w:w="637" w:type="dxa"/>
          </w:tcPr>
          <w:p w:rsidR="00E85C84" w:rsidRDefault="00E85C84">
            <w:pPr>
              <w:jc w:val="center"/>
            </w:pPr>
            <w:r>
              <w:t xml:space="preserve">  8.</w:t>
            </w:r>
          </w:p>
        </w:tc>
        <w:tc>
          <w:tcPr>
            <w:tcW w:w="1843" w:type="dxa"/>
          </w:tcPr>
          <w:p w:rsidR="00E85C84" w:rsidRDefault="00E85C84">
            <w:r>
              <w:t>PN-B-06714-38</w:t>
            </w:r>
          </w:p>
        </w:tc>
        <w:tc>
          <w:tcPr>
            <w:tcW w:w="5029" w:type="dxa"/>
          </w:tcPr>
          <w:p w:rsidR="00E85C84" w:rsidRDefault="00E85C84">
            <w:r>
              <w:t>Kruszywa mineralne. Badania. Oznaczanie rozpadu wapniowego</w:t>
            </w:r>
          </w:p>
        </w:tc>
      </w:tr>
      <w:tr w:rsidR="00E85C84">
        <w:tc>
          <w:tcPr>
            <w:tcW w:w="637" w:type="dxa"/>
          </w:tcPr>
          <w:p w:rsidR="00E85C84" w:rsidRDefault="00E85C84">
            <w:pPr>
              <w:jc w:val="center"/>
            </w:pPr>
            <w:r>
              <w:t xml:space="preserve">  9.</w:t>
            </w:r>
          </w:p>
        </w:tc>
        <w:tc>
          <w:tcPr>
            <w:tcW w:w="1843" w:type="dxa"/>
          </w:tcPr>
          <w:p w:rsidR="00E85C84" w:rsidRDefault="00E85C84">
            <w:r>
              <w:t>PN-B-06714-39</w:t>
            </w:r>
          </w:p>
        </w:tc>
        <w:tc>
          <w:tcPr>
            <w:tcW w:w="5029" w:type="dxa"/>
          </w:tcPr>
          <w:p w:rsidR="00E85C84" w:rsidRDefault="00E85C84">
            <w:r>
              <w:t>Kruszywa mineralne. Badania. Oznaczanie rozpadu żelazawego</w:t>
            </w:r>
          </w:p>
        </w:tc>
      </w:tr>
      <w:tr w:rsidR="00E85C84">
        <w:tc>
          <w:tcPr>
            <w:tcW w:w="637" w:type="dxa"/>
          </w:tcPr>
          <w:p w:rsidR="00E85C84" w:rsidRDefault="00E85C84">
            <w:pPr>
              <w:jc w:val="center"/>
            </w:pPr>
            <w:r>
              <w:t>10.</w:t>
            </w:r>
          </w:p>
        </w:tc>
        <w:tc>
          <w:tcPr>
            <w:tcW w:w="1843" w:type="dxa"/>
          </w:tcPr>
          <w:p w:rsidR="00E85C84" w:rsidRDefault="00E85C84">
            <w:r>
              <w:t>PN-B-06714-42</w:t>
            </w:r>
          </w:p>
        </w:tc>
        <w:tc>
          <w:tcPr>
            <w:tcW w:w="5029" w:type="dxa"/>
          </w:tcPr>
          <w:p w:rsidR="00E85C84" w:rsidRDefault="00E85C84">
            <w:r>
              <w:t>Kruszywa mineralne. Badania. Oznaczanie ścieralności w bębnie Los Angeles</w:t>
            </w:r>
          </w:p>
        </w:tc>
      </w:tr>
      <w:tr w:rsidR="00E85C84">
        <w:tc>
          <w:tcPr>
            <w:tcW w:w="637" w:type="dxa"/>
          </w:tcPr>
          <w:p w:rsidR="00E85C84" w:rsidRDefault="00E85C84">
            <w:pPr>
              <w:jc w:val="center"/>
              <w:rPr>
                <w:lang w:val="en-US"/>
              </w:rPr>
            </w:pPr>
            <w:r>
              <w:rPr>
                <w:lang w:val="en-US"/>
              </w:rPr>
              <w:t>11.</w:t>
            </w:r>
          </w:p>
        </w:tc>
        <w:tc>
          <w:tcPr>
            <w:tcW w:w="1843" w:type="dxa"/>
          </w:tcPr>
          <w:p w:rsidR="00E85C84" w:rsidRDefault="00E85C84">
            <w:pPr>
              <w:rPr>
                <w:lang w:val="en-US"/>
              </w:rPr>
            </w:pPr>
            <w:r>
              <w:rPr>
                <w:lang w:val="en-US"/>
              </w:rPr>
              <w:t>PN-B-19701</w:t>
            </w:r>
          </w:p>
        </w:tc>
        <w:tc>
          <w:tcPr>
            <w:tcW w:w="5029" w:type="dxa"/>
          </w:tcPr>
          <w:p w:rsidR="00E85C84" w:rsidRDefault="00E85C84">
            <w:r w:rsidRPr="00DC16EB">
              <w:t xml:space="preserve">Cement. </w:t>
            </w:r>
            <w:r>
              <w:t>Cement powszechnego użytku. Skład, wymagania i ocena zgodności</w:t>
            </w:r>
          </w:p>
        </w:tc>
      </w:tr>
      <w:tr w:rsidR="00E85C84">
        <w:tc>
          <w:tcPr>
            <w:tcW w:w="637" w:type="dxa"/>
          </w:tcPr>
          <w:p w:rsidR="00E85C84" w:rsidRDefault="00E85C84">
            <w:pPr>
              <w:jc w:val="center"/>
            </w:pPr>
            <w:r>
              <w:t>12.</w:t>
            </w:r>
          </w:p>
        </w:tc>
        <w:tc>
          <w:tcPr>
            <w:tcW w:w="1843" w:type="dxa"/>
          </w:tcPr>
          <w:p w:rsidR="00E85C84" w:rsidRDefault="00E85C84">
            <w:r>
              <w:t>PN-B-30020</w:t>
            </w:r>
          </w:p>
        </w:tc>
        <w:tc>
          <w:tcPr>
            <w:tcW w:w="5029" w:type="dxa"/>
          </w:tcPr>
          <w:p w:rsidR="00E85C84" w:rsidRDefault="00E85C84">
            <w:r>
              <w:t>Wapno</w:t>
            </w:r>
          </w:p>
        </w:tc>
      </w:tr>
      <w:tr w:rsidR="00E85C84">
        <w:tc>
          <w:tcPr>
            <w:tcW w:w="637" w:type="dxa"/>
          </w:tcPr>
          <w:p w:rsidR="00E85C84" w:rsidRDefault="00E85C84">
            <w:pPr>
              <w:jc w:val="center"/>
            </w:pPr>
            <w:r>
              <w:t>13.</w:t>
            </w:r>
          </w:p>
        </w:tc>
        <w:tc>
          <w:tcPr>
            <w:tcW w:w="1843" w:type="dxa"/>
          </w:tcPr>
          <w:p w:rsidR="00E85C84" w:rsidRDefault="00E85C84">
            <w:r>
              <w:t>PN-B-32250</w:t>
            </w:r>
          </w:p>
        </w:tc>
        <w:tc>
          <w:tcPr>
            <w:tcW w:w="5029" w:type="dxa"/>
          </w:tcPr>
          <w:p w:rsidR="00E85C84" w:rsidRDefault="00E85C84">
            <w:r>
              <w:t>Materiały budowlane. Woda do betonów i zapraw</w:t>
            </w:r>
          </w:p>
        </w:tc>
      </w:tr>
      <w:tr w:rsidR="00E85C84">
        <w:tc>
          <w:tcPr>
            <w:tcW w:w="637" w:type="dxa"/>
          </w:tcPr>
          <w:p w:rsidR="00E85C84" w:rsidRDefault="00E85C84">
            <w:pPr>
              <w:jc w:val="center"/>
            </w:pPr>
            <w:r>
              <w:t>14.</w:t>
            </w:r>
          </w:p>
        </w:tc>
        <w:tc>
          <w:tcPr>
            <w:tcW w:w="1843" w:type="dxa"/>
          </w:tcPr>
          <w:p w:rsidR="00E85C84" w:rsidRDefault="00E85C84">
            <w:r>
              <w:t>PN-C-84038</w:t>
            </w:r>
          </w:p>
        </w:tc>
        <w:tc>
          <w:tcPr>
            <w:tcW w:w="5029" w:type="dxa"/>
          </w:tcPr>
          <w:p w:rsidR="00E85C84" w:rsidRDefault="00E85C84">
            <w:r>
              <w:t>Wodorotlenek sodowy techniczny</w:t>
            </w:r>
          </w:p>
        </w:tc>
      </w:tr>
      <w:tr w:rsidR="00E85C84">
        <w:tc>
          <w:tcPr>
            <w:tcW w:w="637" w:type="dxa"/>
          </w:tcPr>
          <w:p w:rsidR="00E85C84" w:rsidRDefault="00E85C84">
            <w:pPr>
              <w:jc w:val="center"/>
            </w:pPr>
            <w:r>
              <w:t>15.</w:t>
            </w:r>
          </w:p>
        </w:tc>
        <w:tc>
          <w:tcPr>
            <w:tcW w:w="1843" w:type="dxa"/>
          </w:tcPr>
          <w:p w:rsidR="00E85C84" w:rsidRDefault="00E85C84">
            <w:r>
              <w:t>PN-C-84127</w:t>
            </w:r>
          </w:p>
        </w:tc>
        <w:tc>
          <w:tcPr>
            <w:tcW w:w="5029" w:type="dxa"/>
          </w:tcPr>
          <w:p w:rsidR="00E85C84" w:rsidRDefault="00E85C84">
            <w:r>
              <w:t>Chlorek wapniowy techniczny</w:t>
            </w:r>
          </w:p>
        </w:tc>
      </w:tr>
      <w:tr w:rsidR="00E85C84">
        <w:tc>
          <w:tcPr>
            <w:tcW w:w="637" w:type="dxa"/>
          </w:tcPr>
          <w:p w:rsidR="00E85C84" w:rsidRDefault="00E85C84">
            <w:pPr>
              <w:jc w:val="center"/>
            </w:pPr>
            <w:r>
              <w:t>16.</w:t>
            </w:r>
          </w:p>
        </w:tc>
        <w:tc>
          <w:tcPr>
            <w:tcW w:w="1843" w:type="dxa"/>
          </w:tcPr>
          <w:p w:rsidR="00E85C84" w:rsidRDefault="00E85C84">
            <w:r>
              <w:t>PN-S-96011</w:t>
            </w:r>
          </w:p>
        </w:tc>
        <w:tc>
          <w:tcPr>
            <w:tcW w:w="5029" w:type="dxa"/>
          </w:tcPr>
          <w:p w:rsidR="00E85C84" w:rsidRDefault="00E85C84">
            <w:r>
              <w:t>Drogi samochodowe. Stabilizacja gruntów wapnem do celów drogowych</w:t>
            </w:r>
          </w:p>
        </w:tc>
      </w:tr>
      <w:tr w:rsidR="00E85C84">
        <w:tc>
          <w:tcPr>
            <w:tcW w:w="637" w:type="dxa"/>
          </w:tcPr>
          <w:p w:rsidR="00E85C84" w:rsidRDefault="00E85C84">
            <w:pPr>
              <w:jc w:val="center"/>
            </w:pPr>
            <w:r>
              <w:t>17.</w:t>
            </w:r>
          </w:p>
        </w:tc>
        <w:tc>
          <w:tcPr>
            <w:tcW w:w="1843" w:type="dxa"/>
          </w:tcPr>
          <w:p w:rsidR="00E85C84" w:rsidRDefault="00E85C84">
            <w:r>
              <w:t>PN-S-96012</w:t>
            </w:r>
          </w:p>
        </w:tc>
        <w:tc>
          <w:tcPr>
            <w:tcW w:w="5029" w:type="dxa"/>
          </w:tcPr>
          <w:p w:rsidR="00E85C84" w:rsidRDefault="00E85C84">
            <w:r>
              <w:t>Drogi samochodowe. Podbudowa i ulepszone podłoże z gruntu stabilizowanego cementem</w:t>
            </w:r>
          </w:p>
        </w:tc>
      </w:tr>
      <w:tr w:rsidR="00E85C84">
        <w:tc>
          <w:tcPr>
            <w:tcW w:w="637" w:type="dxa"/>
          </w:tcPr>
          <w:p w:rsidR="00E85C84" w:rsidRDefault="00E85C84">
            <w:pPr>
              <w:jc w:val="center"/>
            </w:pPr>
            <w:r>
              <w:t>18.</w:t>
            </w:r>
          </w:p>
        </w:tc>
        <w:tc>
          <w:tcPr>
            <w:tcW w:w="1843" w:type="dxa"/>
          </w:tcPr>
          <w:p w:rsidR="00E85C84" w:rsidRDefault="00E85C84">
            <w:r>
              <w:t>PN-S-96035</w:t>
            </w:r>
          </w:p>
        </w:tc>
        <w:tc>
          <w:tcPr>
            <w:tcW w:w="5029" w:type="dxa"/>
          </w:tcPr>
          <w:p w:rsidR="00E85C84" w:rsidRDefault="00E85C84">
            <w:r>
              <w:t>Drogi samochodowe. Popioły lotne</w:t>
            </w:r>
          </w:p>
        </w:tc>
      </w:tr>
      <w:tr w:rsidR="00E85C84">
        <w:tc>
          <w:tcPr>
            <w:tcW w:w="637" w:type="dxa"/>
          </w:tcPr>
          <w:p w:rsidR="00E85C84" w:rsidRDefault="00E85C84">
            <w:pPr>
              <w:jc w:val="center"/>
            </w:pPr>
            <w:r>
              <w:t>19.</w:t>
            </w:r>
          </w:p>
        </w:tc>
        <w:tc>
          <w:tcPr>
            <w:tcW w:w="1843" w:type="dxa"/>
          </w:tcPr>
          <w:p w:rsidR="00E85C84" w:rsidRDefault="00E85C84">
            <w:r>
              <w:t>BN-88/6731-08</w:t>
            </w:r>
          </w:p>
        </w:tc>
        <w:tc>
          <w:tcPr>
            <w:tcW w:w="5029" w:type="dxa"/>
          </w:tcPr>
          <w:p w:rsidR="00E85C84" w:rsidRDefault="00E85C84">
            <w:r>
              <w:t>Cement. Transport i przechowywanie</w:t>
            </w:r>
          </w:p>
        </w:tc>
      </w:tr>
      <w:tr w:rsidR="00E85C84">
        <w:tc>
          <w:tcPr>
            <w:tcW w:w="637" w:type="dxa"/>
          </w:tcPr>
          <w:p w:rsidR="00E85C84" w:rsidRDefault="00E85C84">
            <w:pPr>
              <w:jc w:val="center"/>
            </w:pPr>
            <w:r>
              <w:t>20.</w:t>
            </w:r>
          </w:p>
        </w:tc>
        <w:tc>
          <w:tcPr>
            <w:tcW w:w="1843" w:type="dxa"/>
          </w:tcPr>
          <w:p w:rsidR="00E85C84" w:rsidRDefault="00E85C84">
            <w:r>
              <w:t>BN-64/8931-01</w:t>
            </w:r>
          </w:p>
        </w:tc>
        <w:tc>
          <w:tcPr>
            <w:tcW w:w="5029" w:type="dxa"/>
          </w:tcPr>
          <w:p w:rsidR="00E85C84" w:rsidRDefault="00E85C84">
            <w:r>
              <w:t>Drogi samochodowe. Oznaczanie wskaźnika piaskowego</w:t>
            </w:r>
          </w:p>
        </w:tc>
      </w:tr>
      <w:tr w:rsidR="00E85C84">
        <w:tc>
          <w:tcPr>
            <w:tcW w:w="637" w:type="dxa"/>
          </w:tcPr>
          <w:p w:rsidR="00E85C84" w:rsidRDefault="00E85C84">
            <w:pPr>
              <w:jc w:val="center"/>
            </w:pPr>
            <w:r>
              <w:t>21.</w:t>
            </w:r>
          </w:p>
        </w:tc>
        <w:tc>
          <w:tcPr>
            <w:tcW w:w="1843" w:type="dxa"/>
          </w:tcPr>
          <w:p w:rsidR="00E85C84" w:rsidRDefault="00E85C84">
            <w:r>
              <w:t>BN-64/8931-02</w:t>
            </w:r>
          </w:p>
        </w:tc>
        <w:tc>
          <w:tcPr>
            <w:tcW w:w="5029" w:type="dxa"/>
          </w:tcPr>
          <w:p w:rsidR="00E85C84" w:rsidRDefault="00E85C84">
            <w:r>
              <w:t>Drogi samochodowe. Oznaczanie modułu odkształcenia nawierzchni podatnych i podłoża przez obciążenie płytą</w:t>
            </w:r>
          </w:p>
        </w:tc>
      </w:tr>
      <w:tr w:rsidR="00E85C84">
        <w:tc>
          <w:tcPr>
            <w:tcW w:w="637" w:type="dxa"/>
          </w:tcPr>
          <w:p w:rsidR="00E85C84" w:rsidRDefault="00E85C84">
            <w:pPr>
              <w:jc w:val="center"/>
            </w:pPr>
            <w:r>
              <w:t>22.</w:t>
            </w:r>
          </w:p>
        </w:tc>
        <w:tc>
          <w:tcPr>
            <w:tcW w:w="1843" w:type="dxa"/>
          </w:tcPr>
          <w:p w:rsidR="00E85C84" w:rsidRDefault="00E85C84">
            <w:r>
              <w:t>BN-68/8931-04</w:t>
            </w:r>
          </w:p>
        </w:tc>
        <w:tc>
          <w:tcPr>
            <w:tcW w:w="5029" w:type="dxa"/>
          </w:tcPr>
          <w:p w:rsidR="00E85C84" w:rsidRDefault="00E85C84">
            <w:r>
              <w:t xml:space="preserve">Drogi samochodowe. Pomiar równości nawierzchni </w:t>
            </w:r>
            <w:proofErr w:type="spellStart"/>
            <w:r>
              <w:t>planografem</w:t>
            </w:r>
            <w:proofErr w:type="spellEnd"/>
            <w:r>
              <w:t xml:space="preserve"> i łatą</w:t>
            </w:r>
          </w:p>
        </w:tc>
      </w:tr>
      <w:tr w:rsidR="00E85C84">
        <w:tc>
          <w:tcPr>
            <w:tcW w:w="637" w:type="dxa"/>
          </w:tcPr>
          <w:p w:rsidR="00E85C84" w:rsidRDefault="00E85C84">
            <w:pPr>
              <w:jc w:val="center"/>
            </w:pPr>
            <w:r>
              <w:t>23.</w:t>
            </w:r>
          </w:p>
        </w:tc>
        <w:tc>
          <w:tcPr>
            <w:tcW w:w="1843" w:type="dxa"/>
          </w:tcPr>
          <w:p w:rsidR="00E85C84" w:rsidRDefault="00E85C84">
            <w:r>
              <w:t>BN-70/8931-05</w:t>
            </w:r>
          </w:p>
        </w:tc>
        <w:tc>
          <w:tcPr>
            <w:tcW w:w="5029" w:type="dxa"/>
          </w:tcPr>
          <w:p w:rsidR="00E85C84" w:rsidRDefault="00E85C84">
            <w:r>
              <w:t>Drogi samochodowe. Oznaczanie wskaźnika nośności gruntu jako podłoża nawierzchni podatnych</w:t>
            </w:r>
          </w:p>
        </w:tc>
      </w:tr>
      <w:tr w:rsidR="00E85C84">
        <w:tc>
          <w:tcPr>
            <w:tcW w:w="637" w:type="dxa"/>
          </w:tcPr>
          <w:p w:rsidR="00E85C84" w:rsidRDefault="00E85C84">
            <w:pPr>
              <w:jc w:val="center"/>
            </w:pPr>
            <w:r>
              <w:t>24.</w:t>
            </w:r>
          </w:p>
        </w:tc>
        <w:tc>
          <w:tcPr>
            <w:tcW w:w="1843" w:type="dxa"/>
          </w:tcPr>
          <w:p w:rsidR="00E85C84" w:rsidRDefault="00E85C84">
            <w:r>
              <w:t>BN-73/8931-10</w:t>
            </w:r>
          </w:p>
        </w:tc>
        <w:tc>
          <w:tcPr>
            <w:tcW w:w="5029" w:type="dxa"/>
          </w:tcPr>
          <w:p w:rsidR="00E85C84" w:rsidRDefault="00E85C84">
            <w:r>
              <w:t xml:space="preserve">Drogi samochodowe. Oznaczanie wskaźnika aktywności </w:t>
            </w:r>
            <w:proofErr w:type="spellStart"/>
            <w:r>
              <w:t>pucolanowej</w:t>
            </w:r>
            <w:proofErr w:type="spellEnd"/>
            <w:r>
              <w:t xml:space="preserve"> popiołów lotnych z węgla kamiennego</w:t>
            </w:r>
          </w:p>
        </w:tc>
      </w:tr>
      <w:tr w:rsidR="00E85C84">
        <w:tc>
          <w:tcPr>
            <w:tcW w:w="637" w:type="dxa"/>
          </w:tcPr>
          <w:p w:rsidR="00E85C84" w:rsidRDefault="00E85C84">
            <w:pPr>
              <w:jc w:val="center"/>
            </w:pPr>
            <w:r>
              <w:t>25.</w:t>
            </w:r>
          </w:p>
        </w:tc>
        <w:tc>
          <w:tcPr>
            <w:tcW w:w="1843" w:type="dxa"/>
          </w:tcPr>
          <w:p w:rsidR="00E85C84" w:rsidRDefault="00E85C84">
            <w:r>
              <w:t>BN-77/8931-12</w:t>
            </w:r>
          </w:p>
        </w:tc>
        <w:tc>
          <w:tcPr>
            <w:tcW w:w="5029" w:type="dxa"/>
          </w:tcPr>
          <w:p w:rsidR="00E85C84" w:rsidRDefault="00E85C84">
            <w:r>
              <w:t>Oznaczanie wskaźnika zagęszczenia gruntu</w:t>
            </w:r>
          </w:p>
        </w:tc>
      </w:tr>
      <w:tr w:rsidR="00E85C84">
        <w:tc>
          <w:tcPr>
            <w:tcW w:w="637" w:type="dxa"/>
          </w:tcPr>
          <w:p w:rsidR="00E85C84" w:rsidRDefault="00E85C84">
            <w:pPr>
              <w:jc w:val="center"/>
            </w:pPr>
            <w:r>
              <w:t>26.</w:t>
            </w:r>
          </w:p>
        </w:tc>
        <w:tc>
          <w:tcPr>
            <w:tcW w:w="1843" w:type="dxa"/>
          </w:tcPr>
          <w:p w:rsidR="00E85C84" w:rsidRDefault="00E85C84">
            <w:r>
              <w:t>BN-71/8933-10</w:t>
            </w:r>
          </w:p>
        </w:tc>
        <w:tc>
          <w:tcPr>
            <w:tcW w:w="5029" w:type="dxa"/>
          </w:tcPr>
          <w:p w:rsidR="00E85C84" w:rsidRDefault="00E85C84">
            <w:r>
              <w:t>Drogi samochodowe. Podbudowa z gruntów stabilizowanych aktywnymi popiołami lotnymi.</w:t>
            </w:r>
          </w:p>
        </w:tc>
      </w:tr>
    </w:tbl>
    <w:p w:rsidR="00E85C84" w:rsidRDefault="00E85C84">
      <w:pPr>
        <w:pStyle w:val="Nagwek2"/>
      </w:pPr>
      <w:r>
        <w:t>10.2. Inne dokumenty</w:t>
      </w:r>
    </w:p>
    <w:p w:rsidR="00E85C84" w:rsidRDefault="00E85C84" w:rsidP="00DC16EB">
      <w:pPr>
        <w:numPr>
          <w:ilvl w:val="0"/>
          <w:numId w:val="6"/>
        </w:numPr>
      </w:pPr>
      <w:r>
        <w:t>Instrukcja CZDP 1980 „Badanie wskaźnika aktywności żużla granulowanego”</w:t>
      </w:r>
    </w:p>
    <w:p w:rsidR="00E85C84" w:rsidRDefault="00E85C84" w:rsidP="00DC16EB">
      <w:pPr>
        <w:numPr>
          <w:ilvl w:val="0"/>
          <w:numId w:val="6"/>
        </w:numPr>
      </w:pPr>
      <w:r>
        <w:t>Wytyczne MK CZDP „Stabilizacja kruszyw i gruntów żużlem wielkopiecowym granulowanym”, Warszawa 1979</w:t>
      </w:r>
    </w:p>
    <w:p w:rsidR="00E85C84" w:rsidRDefault="00E85C84" w:rsidP="00DC16EB">
      <w:pPr>
        <w:numPr>
          <w:ilvl w:val="0"/>
          <w:numId w:val="6"/>
        </w:numPr>
      </w:pPr>
      <w:r>
        <w:t xml:space="preserve">Katalog typowych konstrukcji nawierzchni podatnych i półsztywnych, </w:t>
      </w:r>
      <w:proofErr w:type="spellStart"/>
      <w:r>
        <w:t>IBDiM</w:t>
      </w:r>
      <w:proofErr w:type="spellEnd"/>
      <w:r>
        <w:t xml:space="preserve"> - 1997.</w:t>
      </w: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pStyle w:val="Standardowytekst"/>
        <w:jc w:val="center"/>
        <w:rPr>
          <w:b/>
          <w:sz w:val="28"/>
        </w:rPr>
      </w:pPr>
    </w:p>
    <w:p w:rsidR="00E85C84" w:rsidRDefault="00E85C84">
      <w:pPr>
        <w:pStyle w:val="Standardowytekst"/>
        <w:jc w:val="center"/>
        <w:rPr>
          <w:b/>
          <w:sz w:val="28"/>
        </w:rPr>
      </w:pPr>
    </w:p>
    <w:p w:rsidR="00E85C84" w:rsidRDefault="00E85C84">
      <w:pPr>
        <w:pStyle w:val="Standardowytekst"/>
        <w:jc w:val="center"/>
        <w:rPr>
          <w:b/>
          <w:sz w:val="28"/>
        </w:rPr>
      </w:pPr>
    </w:p>
    <w:p w:rsidR="00E85C84" w:rsidRDefault="00E85C84">
      <w:pPr>
        <w:pStyle w:val="Standardowytekst"/>
        <w:jc w:val="center"/>
        <w:rPr>
          <w:b/>
          <w:sz w:val="28"/>
        </w:rPr>
      </w:pPr>
    </w:p>
    <w:p w:rsidR="00E85C84" w:rsidRDefault="00E85C84">
      <w:pPr>
        <w:pStyle w:val="Standardowytekst"/>
        <w:jc w:val="center"/>
        <w:rPr>
          <w:b/>
          <w:sz w:val="28"/>
        </w:rPr>
      </w:pPr>
    </w:p>
    <w:p w:rsidR="00E85C84" w:rsidRDefault="00E85C84">
      <w:pPr>
        <w:pStyle w:val="Standardowytekst"/>
        <w:jc w:val="center"/>
        <w:rPr>
          <w:b/>
          <w:sz w:val="28"/>
        </w:rPr>
      </w:pPr>
    </w:p>
    <w:p w:rsidR="00E85C84" w:rsidRDefault="00E85C84">
      <w:pPr>
        <w:pStyle w:val="Standardowytekst"/>
        <w:jc w:val="center"/>
        <w:rPr>
          <w:b/>
          <w:sz w:val="28"/>
        </w:rPr>
      </w:pPr>
    </w:p>
    <w:p w:rsidR="00E85C84" w:rsidRDefault="00E85C84">
      <w:pPr>
        <w:pStyle w:val="Standardowytekst"/>
        <w:jc w:val="center"/>
        <w:rPr>
          <w:b/>
          <w:sz w:val="28"/>
        </w:rPr>
      </w:pPr>
    </w:p>
    <w:sectPr w:rsidR="00E85C84" w:rsidSect="004E5A70">
      <w:headerReference w:type="even" r:id="rId7"/>
      <w:pgSz w:w="11907" w:h="16840" w:code="9"/>
      <w:pgMar w:top="1418" w:right="2268" w:bottom="1418" w:left="2268" w:header="1418" w:footer="141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320" w:rsidRDefault="00CB5320">
      <w:r>
        <w:separator/>
      </w:r>
    </w:p>
  </w:endnote>
  <w:endnote w:type="continuationSeparator" w:id="0">
    <w:p w:rsidR="00CB5320" w:rsidRDefault="00CB53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320" w:rsidRDefault="00CB5320">
      <w:r>
        <w:separator/>
      </w:r>
    </w:p>
  </w:footnote>
  <w:footnote w:type="continuationSeparator" w:id="0">
    <w:p w:rsidR="00CB5320" w:rsidRDefault="00CB53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C84" w:rsidRDefault="00E85C84">
    <w:pPr>
      <w:pStyle w:val="Nagwek"/>
      <w:rPr>
        <w:rFonts w:ascii="Times New Roman" w:hAnsi="Times New Roman"/>
        <w:sz w:val="20"/>
      </w:rPr>
    </w:pPr>
  </w:p>
  <w:p w:rsidR="00E85C84" w:rsidRDefault="00E85C84">
    <w:pPr>
      <w:pStyle w:val="Nagwek"/>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F4CD634"/>
    <w:lvl w:ilvl="0">
      <w:numFmt w:val="bullet"/>
      <w:lvlText w:val="*"/>
      <w:lvlJc w:val="left"/>
    </w:lvl>
  </w:abstractNum>
  <w:abstractNum w:abstractNumId="1">
    <w:nsid w:val="2ABC1BFD"/>
    <w:multiLevelType w:val="singleLevel"/>
    <w:tmpl w:val="4A807AEC"/>
    <w:lvl w:ilvl="0">
      <w:start w:val="1"/>
      <w:numFmt w:val="lowerLetter"/>
      <w:lvlText w:val="%1)"/>
      <w:legacy w:legacy="1" w:legacySpace="0" w:legacyIndent="283"/>
      <w:lvlJc w:val="left"/>
      <w:pPr>
        <w:ind w:left="283" w:hanging="283"/>
      </w:pPr>
    </w:lvl>
  </w:abstractNum>
  <w:abstractNum w:abstractNumId="2">
    <w:nsid w:val="34C40B42"/>
    <w:multiLevelType w:val="singleLevel"/>
    <w:tmpl w:val="0E66C5B8"/>
    <w:lvl w:ilvl="0">
      <w:start w:val="1"/>
      <w:numFmt w:val="decimal"/>
      <w:lvlText w:val="%1)"/>
      <w:legacy w:legacy="1" w:legacySpace="0" w:legacyIndent="283"/>
      <w:lvlJc w:val="left"/>
      <w:pPr>
        <w:ind w:left="283" w:hanging="283"/>
      </w:pPr>
    </w:lvl>
  </w:abstractNum>
  <w:abstractNum w:abstractNumId="3">
    <w:nsid w:val="6B9F02D6"/>
    <w:multiLevelType w:val="singleLevel"/>
    <w:tmpl w:val="4A807AEC"/>
    <w:lvl w:ilvl="0">
      <w:start w:val="1"/>
      <w:numFmt w:val="lowerLetter"/>
      <w:lvlText w:val="%1)"/>
      <w:legacy w:legacy="1" w:legacySpace="0" w:legacyIndent="283"/>
      <w:lvlJc w:val="left"/>
      <w:pPr>
        <w:ind w:left="283" w:hanging="283"/>
      </w:pPr>
    </w:lvl>
  </w:abstractNum>
  <w:abstractNum w:abstractNumId="4">
    <w:nsid w:val="755B6CAD"/>
    <w:multiLevelType w:val="singleLevel"/>
    <w:tmpl w:val="D7EE446E"/>
    <w:lvl w:ilvl="0">
      <w:start w:val="27"/>
      <w:numFmt w:val="decimal"/>
      <w:lvlText w:val="%1."/>
      <w:legacy w:legacy="1" w:legacySpace="113" w:legacyIndent="454"/>
      <w:lvlJc w:val="left"/>
      <w:pPr>
        <w:ind w:left="454" w:hanging="454"/>
      </w:pPr>
    </w:lvl>
  </w:abstractNum>
  <w:abstractNum w:abstractNumId="5">
    <w:nsid w:val="780522F7"/>
    <w:multiLevelType w:val="singleLevel"/>
    <w:tmpl w:val="4A807AEC"/>
    <w:lvl w:ilvl="0">
      <w:start w:val="1"/>
      <w:numFmt w:val="lowerLetter"/>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DC16EB"/>
    <w:rsid w:val="002633EE"/>
    <w:rsid w:val="002E3851"/>
    <w:rsid w:val="00386962"/>
    <w:rsid w:val="004E5A70"/>
    <w:rsid w:val="005514FD"/>
    <w:rsid w:val="00644E02"/>
    <w:rsid w:val="0070663C"/>
    <w:rsid w:val="0080103B"/>
    <w:rsid w:val="00896D87"/>
    <w:rsid w:val="00927853"/>
    <w:rsid w:val="00AD1B64"/>
    <w:rsid w:val="00B514B3"/>
    <w:rsid w:val="00B67965"/>
    <w:rsid w:val="00C3593C"/>
    <w:rsid w:val="00CB5320"/>
    <w:rsid w:val="00D22B8A"/>
    <w:rsid w:val="00DC16EB"/>
    <w:rsid w:val="00E251B7"/>
    <w:rsid w:val="00E85C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rsid w:val="004E5A70"/>
    <w:pPr>
      <w:overflowPunct w:val="0"/>
      <w:autoSpaceDE w:val="0"/>
      <w:autoSpaceDN w:val="0"/>
      <w:adjustRightInd w:val="0"/>
      <w:jc w:val="both"/>
      <w:textAlignment w:val="baseline"/>
    </w:pPr>
  </w:style>
  <w:style w:type="paragraph" w:styleId="Nagwek1">
    <w:name w:val="heading 1"/>
    <w:basedOn w:val="Normalny"/>
    <w:next w:val="Normalny"/>
    <w:qFormat/>
    <w:rsid w:val="004E5A70"/>
    <w:pPr>
      <w:keepNext/>
      <w:keepLines/>
      <w:suppressAutoHyphens/>
      <w:spacing w:before="240" w:after="120"/>
      <w:outlineLvl w:val="0"/>
    </w:pPr>
    <w:rPr>
      <w:b/>
      <w:caps/>
      <w:kern w:val="28"/>
    </w:rPr>
  </w:style>
  <w:style w:type="paragraph" w:styleId="Nagwek2">
    <w:name w:val="heading 2"/>
    <w:basedOn w:val="Normalny"/>
    <w:next w:val="Normalny"/>
    <w:qFormat/>
    <w:rsid w:val="004E5A70"/>
    <w:pPr>
      <w:keepNext/>
      <w:spacing w:before="120" w:after="120"/>
      <w:outlineLvl w:val="1"/>
    </w:pPr>
    <w:rPr>
      <w:b/>
    </w:rPr>
  </w:style>
  <w:style w:type="paragraph" w:styleId="Nagwek3">
    <w:name w:val="heading 3"/>
    <w:basedOn w:val="Normalny"/>
    <w:next w:val="Normalny"/>
    <w:qFormat/>
    <w:rsid w:val="004E5A70"/>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semiHidden/>
    <w:rsid w:val="004E5A70"/>
    <w:pPr>
      <w:tabs>
        <w:tab w:val="right" w:leader="dot" w:pos="7371"/>
      </w:tabs>
      <w:spacing w:before="120" w:after="120"/>
      <w:jc w:val="left"/>
    </w:pPr>
    <w:rPr>
      <w:b/>
      <w:caps/>
    </w:rPr>
  </w:style>
  <w:style w:type="paragraph" w:styleId="Spistreci2">
    <w:name w:val="toc 2"/>
    <w:basedOn w:val="Normalny"/>
    <w:next w:val="Normalny"/>
    <w:semiHidden/>
    <w:rsid w:val="004E5A70"/>
    <w:pPr>
      <w:tabs>
        <w:tab w:val="right" w:leader="dot" w:pos="7371"/>
      </w:tabs>
      <w:ind w:left="200"/>
      <w:jc w:val="left"/>
    </w:pPr>
  </w:style>
  <w:style w:type="paragraph" w:styleId="Spistreci3">
    <w:name w:val="toc 3"/>
    <w:basedOn w:val="Normalny"/>
    <w:next w:val="Normalny"/>
    <w:semiHidden/>
    <w:rsid w:val="004E5A70"/>
    <w:pPr>
      <w:tabs>
        <w:tab w:val="right" w:leader="dot" w:pos="7371"/>
      </w:tabs>
      <w:ind w:left="400"/>
      <w:jc w:val="left"/>
    </w:pPr>
  </w:style>
  <w:style w:type="paragraph" w:styleId="Spistreci4">
    <w:name w:val="toc 4"/>
    <w:basedOn w:val="Normalny"/>
    <w:next w:val="Normalny"/>
    <w:semiHidden/>
    <w:rsid w:val="004E5A70"/>
    <w:pPr>
      <w:tabs>
        <w:tab w:val="right" w:leader="dot" w:pos="7371"/>
      </w:tabs>
      <w:ind w:left="600"/>
      <w:jc w:val="left"/>
    </w:pPr>
    <w:rPr>
      <w:sz w:val="18"/>
    </w:rPr>
  </w:style>
  <w:style w:type="paragraph" w:styleId="Spistreci5">
    <w:name w:val="toc 5"/>
    <w:basedOn w:val="Normalny"/>
    <w:next w:val="Normalny"/>
    <w:semiHidden/>
    <w:rsid w:val="004E5A70"/>
    <w:pPr>
      <w:tabs>
        <w:tab w:val="right" w:leader="dot" w:pos="7371"/>
      </w:tabs>
      <w:ind w:left="800"/>
      <w:jc w:val="left"/>
    </w:pPr>
    <w:rPr>
      <w:sz w:val="18"/>
    </w:rPr>
  </w:style>
  <w:style w:type="paragraph" w:styleId="Spistreci6">
    <w:name w:val="toc 6"/>
    <w:basedOn w:val="Normalny"/>
    <w:next w:val="Normalny"/>
    <w:semiHidden/>
    <w:rsid w:val="004E5A70"/>
    <w:pPr>
      <w:tabs>
        <w:tab w:val="right" w:leader="dot" w:pos="7371"/>
      </w:tabs>
      <w:ind w:left="1000"/>
      <w:jc w:val="left"/>
    </w:pPr>
    <w:rPr>
      <w:sz w:val="18"/>
    </w:rPr>
  </w:style>
  <w:style w:type="paragraph" w:styleId="Spistreci7">
    <w:name w:val="toc 7"/>
    <w:basedOn w:val="Normalny"/>
    <w:next w:val="Normalny"/>
    <w:semiHidden/>
    <w:rsid w:val="004E5A70"/>
    <w:pPr>
      <w:tabs>
        <w:tab w:val="right" w:leader="dot" w:pos="7371"/>
      </w:tabs>
      <w:ind w:left="1200"/>
      <w:jc w:val="left"/>
    </w:pPr>
    <w:rPr>
      <w:sz w:val="18"/>
    </w:rPr>
  </w:style>
  <w:style w:type="paragraph" w:styleId="Spistreci8">
    <w:name w:val="toc 8"/>
    <w:basedOn w:val="Normalny"/>
    <w:next w:val="Normalny"/>
    <w:semiHidden/>
    <w:rsid w:val="004E5A70"/>
    <w:pPr>
      <w:tabs>
        <w:tab w:val="right" w:leader="dot" w:pos="7371"/>
      </w:tabs>
      <w:ind w:left="1400"/>
      <w:jc w:val="left"/>
    </w:pPr>
    <w:rPr>
      <w:sz w:val="18"/>
    </w:rPr>
  </w:style>
  <w:style w:type="paragraph" w:styleId="Spistreci9">
    <w:name w:val="toc 9"/>
    <w:basedOn w:val="Normalny"/>
    <w:next w:val="Normalny"/>
    <w:semiHidden/>
    <w:rsid w:val="004E5A70"/>
    <w:pPr>
      <w:tabs>
        <w:tab w:val="right" w:leader="dot" w:pos="7371"/>
      </w:tabs>
      <w:ind w:left="1600"/>
      <w:jc w:val="left"/>
    </w:pPr>
    <w:rPr>
      <w:sz w:val="18"/>
    </w:rPr>
  </w:style>
  <w:style w:type="character" w:styleId="Numerstrony">
    <w:name w:val="page number"/>
    <w:basedOn w:val="Domylnaczcionkaakapitu"/>
    <w:rsid w:val="004E5A70"/>
  </w:style>
  <w:style w:type="paragraph" w:customStyle="1" w:styleId="StylIwony">
    <w:name w:val="Styl Iwony"/>
    <w:basedOn w:val="Normalny"/>
    <w:rsid w:val="004E5A70"/>
    <w:pPr>
      <w:spacing w:before="120" w:after="120"/>
    </w:pPr>
    <w:rPr>
      <w:rFonts w:ascii="Bookman Old Style" w:hAnsi="Bookman Old Style"/>
      <w:sz w:val="24"/>
    </w:rPr>
  </w:style>
  <w:style w:type="paragraph" w:styleId="Nagwek">
    <w:name w:val="header"/>
    <w:basedOn w:val="Normalny"/>
    <w:rsid w:val="004E5A70"/>
    <w:pPr>
      <w:tabs>
        <w:tab w:val="center" w:pos="4536"/>
        <w:tab w:val="right" w:pos="9072"/>
      </w:tabs>
      <w:jc w:val="left"/>
    </w:pPr>
    <w:rPr>
      <w:rFonts w:ascii="Century Gothic" w:hAnsi="Century Gothic"/>
      <w:sz w:val="24"/>
    </w:rPr>
  </w:style>
  <w:style w:type="paragraph" w:styleId="Stopka">
    <w:name w:val="footer"/>
    <w:basedOn w:val="Normalny"/>
    <w:rsid w:val="004E5A70"/>
    <w:pPr>
      <w:tabs>
        <w:tab w:val="center" w:pos="4536"/>
        <w:tab w:val="right" w:pos="9072"/>
      </w:tabs>
    </w:pPr>
  </w:style>
  <w:style w:type="paragraph" w:styleId="Tekstprzypisudolnego">
    <w:name w:val="footnote text"/>
    <w:basedOn w:val="Normalny"/>
    <w:semiHidden/>
    <w:rsid w:val="004E5A70"/>
  </w:style>
  <w:style w:type="paragraph" w:customStyle="1" w:styleId="tekstost">
    <w:name w:val="tekst ost"/>
    <w:basedOn w:val="Normalny"/>
    <w:rsid w:val="004E5A70"/>
  </w:style>
  <w:style w:type="character" w:styleId="Odwoanieprzypisudolnego">
    <w:name w:val="footnote reference"/>
    <w:basedOn w:val="Domylnaczcionkaakapitu"/>
    <w:semiHidden/>
    <w:rsid w:val="004E5A70"/>
    <w:rPr>
      <w:vertAlign w:val="superscript"/>
    </w:rPr>
  </w:style>
  <w:style w:type="paragraph" w:customStyle="1" w:styleId="Standardowytekst">
    <w:name w:val="Standardowy.tekst"/>
    <w:rsid w:val="004E5A70"/>
    <w:pPr>
      <w:overflowPunct w:val="0"/>
      <w:autoSpaceDE w:val="0"/>
      <w:autoSpaceDN w:val="0"/>
      <w:adjustRightInd w:val="0"/>
      <w:jc w:val="both"/>
      <w:textAlignment w:val="baseline"/>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3403</Words>
  <Characters>20421</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D-04.05.00:04.05.04</vt:lpstr>
    </vt:vector>
  </TitlesOfParts>
  <Company>Warszawa      Skaryszewska 19</Company>
  <LinksUpToDate>false</LinksUpToDate>
  <CharactersWithSpaces>23777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D-04.05.00:04.05.04</dc:title>
  <dc:subject>ost</dc:subject>
  <dc:creator>BZD BDIM Sp. z o.o.</dc:creator>
  <cp:keywords>specyfikacje, drogi, drogownictwo</cp:keywords>
  <dc:description>Podbudowy i ulepszone podłoże z gruntów lub kruszyw stabilizowanych spoiwami hydraulicznymi</dc:description>
  <cp:lastModifiedBy>Kompuer</cp:lastModifiedBy>
  <cp:revision>4</cp:revision>
  <cp:lastPrinted>2006-05-15T11:32:00Z</cp:lastPrinted>
  <dcterms:created xsi:type="dcterms:W3CDTF">2012-05-22T05:27:00Z</dcterms:created>
  <dcterms:modified xsi:type="dcterms:W3CDTF">2013-04-26T08:07:00Z</dcterms:modified>
</cp:coreProperties>
</file>